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D2AE3" w14:textId="77777777" w:rsidR="00D67FBD" w:rsidRDefault="00D67FBD" w:rsidP="00D67FBD">
      <w:pPr>
        <w:pStyle w:val="Titre"/>
        <w:jc w:val="center"/>
        <w:rPr>
          <w:rFonts w:eastAsia="Times New Roman"/>
        </w:rPr>
      </w:pPr>
      <w:r>
        <w:rPr>
          <w:rFonts w:eastAsia="Times New Roman"/>
        </w:rPr>
        <w:t>Aide à l’utilisation du logiciel AirQ+</w:t>
      </w:r>
    </w:p>
    <w:p w14:paraId="14930C60" w14:textId="3009BBDE" w:rsidR="00D67FBD" w:rsidRPr="00D67FBD" w:rsidRDefault="00D67FBD" w:rsidP="00D67FBD">
      <w:pPr>
        <w:pStyle w:val="Titre"/>
        <w:jc w:val="center"/>
        <w:rPr>
          <w:rFonts w:eastAsia="Times New Roman"/>
        </w:rPr>
      </w:pPr>
      <w:r w:rsidRPr="00D67FBD">
        <w:rPr>
          <w:rFonts w:eastAsia="Times New Roman"/>
        </w:rPr>
        <w:t>-</w:t>
      </w:r>
    </w:p>
    <w:p w14:paraId="273A7934" w14:textId="6CFC51DB" w:rsidR="00D67FBD" w:rsidRPr="00D67FBD" w:rsidRDefault="00D67FBD" w:rsidP="00D67FBD">
      <w:pPr>
        <w:pStyle w:val="Titre"/>
        <w:jc w:val="center"/>
        <w:rPr>
          <w:rFonts w:eastAsia="Times New Roman"/>
        </w:rPr>
      </w:pPr>
      <w:r w:rsidRPr="00D67FBD">
        <w:rPr>
          <w:rFonts w:eastAsia="Times New Roman"/>
        </w:rPr>
        <w:t>Calcul de l’espérance de vie</w:t>
      </w:r>
    </w:p>
    <w:p w14:paraId="3F8000A7" w14:textId="77777777" w:rsidR="00D67FBD" w:rsidRDefault="00D67FBD" w:rsidP="00D67FBD">
      <w:pPr>
        <w:pBdr>
          <w:bottom w:val="single" w:sz="6" w:space="1" w:color="auto"/>
        </w:pBdr>
        <w:rPr>
          <w:snapToGrid/>
          <w:u w:val="single"/>
        </w:rPr>
      </w:pPr>
    </w:p>
    <w:p w14:paraId="149B4552" w14:textId="77777777" w:rsidR="00D67FBD" w:rsidRDefault="00D67FBD" w:rsidP="00D67FBD">
      <w:pPr>
        <w:rPr>
          <w:snapToGrid/>
          <w:u w:val="single"/>
        </w:rPr>
      </w:pPr>
    </w:p>
    <w:p w14:paraId="64278138" w14:textId="77777777" w:rsidR="00D67FBD" w:rsidRDefault="00D67FBD" w:rsidP="00D67FBD">
      <w:pPr>
        <w:rPr>
          <w:snapToGrid/>
          <w:u w:val="single"/>
        </w:rPr>
      </w:pPr>
    </w:p>
    <w:p w14:paraId="09487731" w14:textId="75D0BE75" w:rsidR="00D67FBD" w:rsidRDefault="00D67FBD" w:rsidP="00D67FBD">
      <w:pPr>
        <w:rPr>
          <w:snapToGrid/>
          <w:u w:val="single"/>
        </w:rPr>
      </w:pPr>
      <w:r w:rsidRPr="00464CC4">
        <w:rPr>
          <w:snapToGrid/>
          <w:u w:val="single"/>
        </w:rPr>
        <w:t xml:space="preserve">Auteurs : </w:t>
      </w:r>
    </w:p>
    <w:p w14:paraId="3C11483A" w14:textId="77777777" w:rsidR="00D67FBD" w:rsidRPr="00464CC4" w:rsidRDefault="00D67FBD" w:rsidP="00D67FBD">
      <w:pPr>
        <w:rPr>
          <w:snapToGrid/>
          <w:u w:val="single"/>
        </w:rPr>
      </w:pPr>
    </w:p>
    <w:p w14:paraId="7E0CA019" w14:textId="77777777" w:rsidR="00D67FBD" w:rsidRDefault="00D67FBD" w:rsidP="00D67FBD">
      <w:pPr>
        <w:rPr>
          <w:snapToGrid/>
        </w:rPr>
      </w:pPr>
      <w:r>
        <w:rPr>
          <w:snapToGrid/>
        </w:rPr>
        <w:t>Magali Corso (Santé publique France)</w:t>
      </w:r>
    </w:p>
    <w:p w14:paraId="4566E6C7" w14:textId="77777777" w:rsidR="00D67FBD" w:rsidRDefault="00D67FBD" w:rsidP="00D67FBD">
      <w:pPr>
        <w:rPr>
          <w:snapToGrid/>
        </w:rPr>
      </w:pPr>
      <w:r>
        <w:rPr>
          <w:snapToGrid/>
        </w:rPr>
        <w:t>Pierpaolo Mudu (OMS)</w:t>
      </w:r>
    </w:p>
    <w:p w14:paraId="48E82DDD" w14:textId="77777777" w:rsidR="00D67FBD" w:rsidRDefault="00D67FBD" w:rsidP="002D2FBA">
      <w:pPr>
        <w:pStyle w:val="Titre2"/>
        <w:keepNext w:val="0"/>
        <w:keepLines w:val="0"/>
        <w:spacing w:before="0"/>
        <w:jc w:val="left"/>
        <w:rPr>
          <w:rFonts w:ascii="Arial" w:eastAsia="Times New Roman" w:hAnsi="Arial" w:cs="Arial"/>
          <w:snapToGrid/>
          <w:color w:val="004192"/>
          <w:sz w:val="32"/>
          <w:szCs w:val="32"/>
        </w:rPr>
      </w:pPr>
    </w:p>
    <w:p w14:paraId="09359D7F" w14:textId="77777777" w:rsidR="00D67FBD" w:rsidRDefault="00D67FBD" w:rsidP="002D2FBA">
      <w:pPr>
        <w:pStyle w:val="Titre2"/>
        <w:keepNext w:val="0"/>
        <w:keepLines w:val="0"/>
        <w:spacing w:before="0"/>
        <w:jc w:val="left"/>
        <w:rPr>
          <w:rFonts w:ascii="Arial" w:eastAsia="Times New Roman" w:hAnsi="Arial" w:cs="Arial"/>
          <w:snapToGrid/>
          <w:color w:val="004192"/>
          <w:sz w:val="32"/>
          <w:szCs w:val="32"/>
        </w:rPr>
      </w:pPr>
    </w:p>
    <w:p w14:paraId="6CEB5FF3" w14:textId="0E34588C" w:rsidR="002D2FBA" w:rsidRPr="008D151C" w:rsidRDefault="002D2FBA" w:rsidP="002D2FBA">
      <w:pPr>
        <w:pStyle w:val="Titre2"/>
        <w:keepNext w:val="0"/>
        <w:keepLines w:val="0"/>
        <w:spacing w:before="0"/>
        <w:jc w:val="left"/>
        <w:rPr>
          <w:rFonts w:ascii="Arial" w:eastAsia="Times New Roman" w:hAnsi="Arial" w:cs="Arial"/>
          <w:snapToGrid/>
          <w:color w:val="004192"/>
          <w:sz w:val="32"/>
          <w:szCs w:val="32"/>
        </w:rPr>
      </w:pPr>
      <w:r w:rsidRPr="008D151C">
        <w:rPr>
          <w:rFonts w:ascii="Arial" w:eastAsia="Times New Roman" w:hAnsi="Arial" w:cs="Arial"/>
          <w:snapToGrid/>
          <w:color w:val="004192"/>
          <w:sz w:val="32"/>
          <w:szCs w:val="32"/>
        </w:rPr>
        <w:t xml:space="preserve">Analyse </w:t>
      </w:r>
      <w:r>
        <w:rPr>
          <w:rFonts w:ascii="Arial" w:eastAsia="Times New Roman" w:hAnsi="Arial" w:cs="Arial"/>
          <w:snapToGrid/>
          <w:color w:val="004192"/>
          <w:sz w:val="32"/>
          <w:szCs w:val="32"/>
        </w:rPr>
        <w:t xml:space="preserve">d’espérance de vie </w:t>
      </w:r>
      <w:r w:rsidRPr="008D151C">
        <w:rPr>
          <w:rFonts w:ascii="Arial" w:eastAsia="Times New Roman" w:hAnsi="Arial" w:cs="Arial"/>
          <w:snapToGrid/>
          <w:color w:val="004192"/>
          <w:sz w:val="32"/>
          <w:szCs w:val="32"/>
        </w:rPr>
        <w:t>: pollution de l'air ambiant - PM</w:t>
      </w:r>
      <w:r w:rsidRPr="00D53B2B">
        <w:rPr>
          <w:rFonts w:ascii="Arial" w:eastAsia="Times New Roman" w:hAnsi="Arial" w:cs="Arial"/>
          <w:snapToGrid/>
          <w:color w:val="004192"/>
          <w:sz w:val="32"/>
          <w:szCs w:val="32"/>
          <w:vertAlign w:val="subscript"/>
        </w:rPr>
        <w:t>2,5</w:t>
      </w:r>
      <w:r w:rsidRPr="008D151C">
        <w:rPr>
          <w:rFonts w:ascii="Arial" w:eastAsia="Times New Roman" w:hAnsi="Arial" w:cs="Arial"/>
          <w:snapToGrid/>
          <w:color w:val="004192"/>
          <w:sz w:val="32"/>
          <w:szCs w:val="32"/>
        </w:rPr>
        <w:t xml:space="preserve"> - long terme - mortalité </w:t>
      </w:r>
      <w:r>
        <w:rPr>
          <w:rFonts w:ascii="Arial" w:eastAsia="Times New Roman" w:hAnsi="Arial" w:cs="Arial"/>
          <w:snapToGrid/>
          <w:color w:val="004192"/>
          <w:sz w:val="32"/>
          <w:szCs w:val="32"/>
        </w:rPr>
        <w:t>chez les 30 ans et plus</w:t>
      </w:r>
    </w:p>
    <w:p w14:paraId="1CCCD308" w14:textId="77777777" w:rsidR="002D2FBA" w:rsidRDefault="002D2FBA" w:rsidP="002D2FBA"/>
    <w:p w14:paraId="78C8A727" w14:textId="77777777" w:rsidR="002D2FBA" w:rsidRPr="00966235" w:rsidRDefault="002D2FBA" w:rsidP="002D2FBA">
      <w:r w:rsidRPr="00966235">
        <w:t xml:space="preserve">Dans la fenêtre </w:t>
      </w:r>
      <w:r>
        <w:t xml:space="preserve">(Figure N°2) cliquer sur </w:t>
      </w:r>
      <w:r w:rsidRPr="00966235">
        <w:t>«</w:t>
      </w:r>
      <w:r w:rsidR="002C3687">
        <w:t xml:space="preserve"> </w:t>
      </w:r>
      <w:r w:rsidRPr="00966235">
        <w:rPr>
          <w:i/>
        </w:rPr>
        <w:t xml:space="preserve">Créer une nouvelle </w:t>
      </w:r>
      <w:r>
        <w:rPr>
          <w:i/>
        </w:rPr>
        <w:t xml:space="preserve">évaluation d’impact </w:t>
      </w:r>
      <w:r w:rsidRPr="00966235">
        <w:t xml:space="preserve">», sélectionnez </w:t>
      </w:r>
      <w:r>
        <w:t>« </w:t>
      </w:r>
      <w:r w:rsidRPr="00966235">
        <w:rPr>
          <w:i/>
        </w:rPr>
        <w:t>Effets à long terme’</w:t>
      </w:r>
      <w:r>
        <w:rPr>
          <w:i/>
        </w:rPr>
        <w:t> »</w:t>
      </w:r>
      <w:r w:rsidRPr="00966235">
        <w:t xml:space="preserve">, </w:t>
      </w:r>
      <w:r>
        <w:t>« </w:t>
      </w:r>
      <w:r w:rsidRPr="00B702DE">
        <w:rPr>
          <w:i/>
        </w:rPr>
        <w:t>Pollution ambiante</w:t>
      </w:r>
      <w:r>
        <w:t xml:space="preserve"> » </w:t>
      </w:r>
      <w:r w:rsidRPr="00966235">
        <w:t xml:space="preserve">et Polluant </w:t>
      </w:r>
      <w:r>
        <w:t>« </w:t>
      </w:r>
      <w:r w:rsidRPr="00B702DE">
        <w:rPr>
          <w:i/>
        </w:rPr>
        <w:t>PM</w:t>
      </w:r>
      <w:r w:rsidRPr="00B702DE">
        <w:rPr>
          <w:i/>
          <w:vertAlign w:val="subscript"/>
        </w:rPr>
        <w:t>2,5</w:t>
      </w:r>
      <w:r w:rsidRPr="00B702DE">
        <w:rPr>
          <w:i/>
        </w:rPr>
        <w:t>’</w:t>
      </w:r>
      <w:r>
        <w:t> »</w:t>
      </w:r>
      <w:r w:rsidRPr="004B0836">
        <w:t xml:space="preserve"> </w:t>
      </w:r>
      <w:r w:rsidRPr="00966235">
        <w:t>(</w:t>
      </w:r>
      <w:r>
        <w:t>Figure N° </w:t>
      </w:r>
      <w:r w:rsidRPr="00966235">
        <w:t>3)</w:t>
      </w:r>
      <w:r>
        <w:t>, puis cliquez sur OK.</w:t>
      </w:r>
    </w:p>
    <w:p w14:paraId="44C18DC9" w14:textId="77777777" w:rsidR="002D2FBA" w:rsidRDefault="002D2FBA" w:rsidP="002D2FBA">
      <w:pPr>
        <w:pStyle w:val="Lgende"/>
      </w:pPr>
      <w:bookmarkStart w:id="0" w:name="_Ref448936333"/>
    </w:p>
    <w:tbl>
      <w:tblPr>
        <w:tblW w:w="0" w:type="auto"/>
        <w:shd w:val="clear" w:color="auto" w:fill="004192"/>
        <w:tblLook w:val="01E0" w:firstRow="1" w:lastRow="1" w:firstColumn="1" w:lastColumn="1" w:noHBand="0" w:noVBand="0"/>
      </w:tblPr>
      <w:tblGrid>
        <w:gridCol w:w="9072"/>
      </w:tblGrid>
      <w:tr w:rsidR="002D2FBA" w:rsidRPr="00B06D3F" w14:paraId="41795907" w14:textId="77777777" w:rsidTr="007F51C2">
        <w:trPr>
          <w:trHeight w:val="715"/>
        </w:trPr>
        <w:tc>
          <w:tcPr>
            <w:tcW w:w="9639" w:type="dxa"/>
            <w:shd w:val="clear" w:color="auto" w:fill="004192"/>
          </w:tcPr>
          <w:p w14:paraId="6EE41401" w14:textId="77777777" w:rsidR="002D2FBA" w:rsidRPr="00FD37C6" w:rsidRDefault="002D2FBA" w:rsidP="007F51C2">
            <w:pPr>
              <w:pStyle w:val="Tableautitre"/>
              <w:spacing w:before="0" w:after="0"/>
            </w:pPr>
          </w:p>
          <w:p w14:paraId="3EE0646C" w14:textId="77777777" w:rsidR="002D2FBA" w:rsidRPr="00B06D3F" w:rsidRDefault="002D2FBA" w:rsidP="007F51C2">
            <w:pPr>
              <w:pStyle w:val="NumeroTableauFigure"/>
              <w:rPr>
                <w:lang w:val="en-US"/>
              </w:rPr>
            </w:pPr>
            <w:r w:rsidRPr="00B06D3F">
              <w:rPr>
                <w:lang w:val="en-US"/>
              </w:rPr>
              <w:t>I F</w:t>
            </w:r>
            <w:r>
              <w:rPr>
                <w:lang w:val="en-US"/>
              </w:rPr>
              <w:t>I</w:t>
            </w:r>
            <w:r w:rsidRPr="00B06D3F">
              <w:rPr>
                <w:lang w:val="en-US"/>
              </w:rPr>
              <w:t xml:space="preserve">GURE N° </w:t>
            </w:r>
            <w:r>
              <w:rPr>
                <w:lang w:val="en-US"/>
              </w:rPr>
              <w:t>2</w:t>
            </w:r>
            <w:r w:rsidRPr="00B06D3F">
              <w:rPr>
                <w:lang w:val="en-US"/>
              </w:rPr>
              <w:t xml:space="preserve"> I </w:t>
            </w:r>
            <w:r w:rsidRPr="00B06D3F">
              <w:rPr>
                <w:lang w:val="en-US"/>
              </w:rPr>
              <w:tab/>
            </w:r>
          </w:p>
        </w:tc>
      </w:tr>
    </w:tbl>
    <w:p w14:paraId="67593A8E" w14:textId="77777777" w:rsidR="002D2FBA" w:rsidRDefault="002D2FBA" w:rsidP="002D2FBA">
      <w:pPr>
        <w:pStyle w:val="TitreTableauFigure"/>
      </w:pPr>
      <w:r>
        <w:t>AirQ+ : E</w:t>
      </w:r>
      <w:r w:rsidRPr="00966235">
        <w:t>cran de démarrage</w:t>
      </w:r>
    </w:p>
    <w:p w14:paraId="652851B2" w14:textId="77777777" w:rsidR="002D2FBA" w:rsidRPr="007A11C5" w:rsidRDefault="002D2FBA" w:rsidP="002D2FBA">
      <w:pPr>
        <w:pStyle w:val="TitreTableauFigure"/>
      </w:pPr>
    </w:p>
    <w:p w14:paraId="56D2FA05" w14:textId="39FFDECD" w:rsidR="002D2FBA" w:rsidRDefault="00D67FBD" w:rsidP="002D2FB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13244F" wp14:editId="7A72733C">
                <wp:simplePos x="0" y="0"/>
                <wp:positionH relativeFrom="column">
                  <wp:posOffset>2778278</wp:posOffset>
                </wp:positionH>
                <wp:positionV relativeFrom="paragraph">
                  <wp:posOffset>2182353</wp:posOffset>
                </wp:positionV>
                <wp:extent cx="1596788" cy="204717"/>
                <wp:effectExtent l="0" t="0" r="22860" b="24130"/>
                <wp:wrapNone/>
                <wp:docPr id="27" name="Rectangle à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788" cy="20471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E1A493" id="Rectangle à coins arrondis 27" o:spid="_x0000_s1026" style="position:absolute;margin-left:218.75pt;margin-top:171.85pt;width:125.75pt;height:16.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" filled="f" strokecolor="red" strokeweight="1pt">
                <v:stroke joinstyle="miter"/>
              </v:roundrect>
            </w:pict>
          </mc:Fallback>
        </mc:AlternateContent>
      </w:r>
      <w:r w:rsidR="002D2FBA" w:rsidRPr="00DA08EF">
        <w:rPr>
          <w:noProof/>
          <w:snapToGrid/>
        </w:rPr>
        <w:t xml:space="preserve"> </w:t>
      </w:r>
      <w:r w:rsidR="007B5742">
        <w:rPr>
          <w:noProof/>
          <w:snapToGrid/>
        </w:rPr>
        <w:drawing>
          <wp:inline distT="0" distB="0" distL="0" distR="0" wp14:anchorId="54DB7FD2" wp14:editId="62339BA5">
            <wp:extent cx="4612943" cy="3661332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327" cy="366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FBA" w:rsidRPr="00B06D3F">
        <w:t xml:space="preserve"> </w:t>
      </w:r>
    </w:p>
    <w:tbl>
      <w:tblPr>
        <w:tblW w:w="0" w:type="auto"/>
        <w:shd w:val="clear" w:color="auto" w:fill="004192"/>
        <w:tblLook w:val="01E0" w:firstRow="1" w:lastRow="1" w:firstColumn="1" w:lastColumn="1" w:noHBand="0" w:noVBand="0"/>
      </w:tblPr>
      <w:tblGrid>
        <w:gridCol w:w="9072"/>
      </w:tblGrid>
      <w:tr w:rsidR="002D2FBA" w:rsidRPr="00B06D3F" w14:paraId="6BCF3330" w14:textId="77777777" w:rsidTr="002D2FBA">
        <w:trPr>
          <w:trHeight w:val="568"/>
        </w:trPr>
        <w:tc>
          <w:tcPr>
            <w:tcW w:w="9072" w:type="dxa"/>
            <w:shd w:val="clear" w:color="auto" w:fill="004192"/>
          </w:tcPr>
          <w:p w14:paraId="6B68F6A5" w14:textId="77777777" w:rsidR="002D2FBA" w:rsidRPr="00FD37C6" w:rsidRDefault="002D2FBA" w:rsidP="007F51C2">
            <w:pPr>
              <w:pStyle w:val="Tableautitre"/>
              <w:spacing w:before="0" w:after="0"/>
            </w:pPr>
          </w:p>
          <w:p w14:paraId="34CB06C3" w14:textId="77777777" w:rsidR="002D2FBA" w:rsidRPr="00B06D3F" w:rsidRDefault="002D2FBA" w:rsidP="007F51C2">
            <w:pPr>
              <w:pStyle w:val="NumeroTableauFigure"/>
              <w:rPr>
                <w:lang w:val="en-US"/>
              </w:rPr>
            </w:pPr>
            <w:r w:rsidRPr="00B06D3F">
              <w:rPr>
                <w:lang w:val="en-US"/>
              </w:rPr>
              <w:t>I F</w:t>
            </w:r>
            <w:r>
              <w:rPr>
                <w:lang w:val="en-US"/>
              </w:rPr>
              <w:t>I</w:t>
            </w:r>
            <w:r w:rsidRPr="00B06D3F">
              <w:rPr>
                <w:lang w:val="en-US"/>
              </w:rPr>
              <w:t xml:space="preserve">GURE N° </w:t>
            </w:r>
            <w:r>
              <w:rPr>
                <w:lang w:val="en-US"/>
              </w:rPr>
              <w:t>3</w:t>
            </w:r>
            <w:r w:rsidRPr="00B06D3F">
              <w:rPr>
                <w:lang w:val="en-US"/>
              </w:rPr>
              <w:t xml:space="preserve"> I </w:t>
            </w:r>
            <w:r w:rsidRPr="00B06D3F">
              <w:rPr>
                <w:lang w:val="en-US"/>
              </w:rPr>
              <w:tab/>
            </w:r>
          </w:p>
        </w:tc>
      </w:tr>
    </w:tbl>
    <w:p w14:paraId="06EBBC2A" w14:textId="77777777" w:rsidR="002D2FBA" w:rsidRPr="00B06D3F" w:rsidRDefault="002D2FBA" w:rsidP="002D2FBA">
      <w:pPr>
        <w:pStyle w:val="TitreTableauFigure"/>
        <w:rPr>
          <w:lang w:val="en-US"/>
        </w:rPr>
      </w:pPr>
    </w:p>
    <w:p w14:paraId="1C9E5753" w14:textId="77777777" w:rsidR="002D2FBA" w:rsidRPr="004B0836" w:rsidRDefault="002D2FBA" w:rsidP="002D2FBA">
      <w:pPr>
        <w:pStyle w:val="TitreTableauFigure"/>
      </w:pPr>
      <w:r>
        <w:t xml:space="preserve">AirQ+ : </w:t>
      </w:r>
      <w:r w:rsidRPr="004B0836">
        <w:t>Créer une nouvelle fenêtre d'analyse de la pollution de l'air ambiant - PM</w:t>
      </w:r>
      <w:r w:rsidRPr="004B0836">
        <w:rPr>
          <w:vertAlign w:val="subscript"/>
        </w:rPr>
        <w:t>2,5</w:t>
      </w:r>
      <w:r w:rsidRPr="004B0836">
        <w:t xml:space="preserve"> - à long terme’</w:t>
      </w:r>
    </w:p>
    <w:p w14:paraId="0188CA3F" w14:textId="77777777" w:rsidR="002D2FBA" w:rsidRPr="004B0836" w:rsidRDefault="002D2FBA" w:rsidP="002D2FBA">
      <w:pPr>
        <w:jc w:val="center"/>
      </w:pPr>
      <w:r>
        <w:rPr>
          <w:noProof/>
          <w:snapToGrid/>
        </w:rPr>
        <w:drawing>
          <wp:inline distT="0" distB="0" distL="0" distR="0" wp14:anchorId="7E2BF0BE" wp14:editId="76BF93F1">
            <wp:extent cx="3172049" cy="2208810"/>
            <wp:effectExtent l="0" t="0" r="0" b="127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7411" cy="224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7C3841D" w14:textId="77777777" w:rsidR="002D2FBA" w:rsidRDefault="002D2FBA" w:rsidP="002D2FBA">
      <w:pPr>
        <w:pStyle w:val="Titre3"/>
      </w:pPr>
    </w:p>
    <w:p w14:paraId="22B03357" w14:textId="77777777" w:rsidR="002D2FBA" w:rsidRDefault="002D2FBA" w:rsidP="002D2FBA">
      <w:pPr>
        <w:pStyle w:val="Titre3"/>
      </w:pPr>
      <w:r>
        <w:t xml:space="preserve">Les analyses se font pour </w:t>
      </w:r>
      <w:r w:rsidRPr="00CF35BA">
        <w:rPr>
          <w:b/>
          <w:u w:val="single"/>
        </w:rPr>
        <w:t>zone</w:t>
      </w:r>
      <w:r>
        <w:rPr>
          <w:b/>
          <w:u w:val="single"/>
        </w:rPr>
        <w:t xml:space="preserve"> par zone</w:t>
      </w:r>
      <w:r>
        <w:t xml:space="preserve"> : </w:t>
      </w:r>
    </w:p>
    <w:p w14:paraId="5CAE57B6" w14:textId="77777777" w:rsidR="002D2FBA" w:rsidRDefault="002D2FBA" w:rsidP="002D2FBA"/>
    <w:p w14:paraId="2767C96B" w14:textId="77777777" w:rsidR="002D2FBA" w:rsidRDefault="002D2FBA" w:rsidP="002D2FBA">
      <w:r>
        <w:t>Dans « </w:t>
      </w:r>
      <w:r w:rsidRPr="00966235">
        <w:rPr>
          <w:i/>
        </w:rPr>
        <w:t>Propriétés d'analyse</w:t>
      </w:r>
      <w:r>
        <w:t> » :</w:t>
      </w:r>
    </w:p>
    <w:p w14:paraId="53A6E1B7" w14:textId="77777777" w:rsidR="002D2FBA" w:rsidRDefault="002D2FBA" w:rsidP="002D2FBA">
      <w:r>
        <w:t xml:space="preserve">Les informations </w:t>
      </w:r>
      <w:r w:rsidRPr="005D00C4">
        <w:rPr>
          <w:u w:val="single"/>
        </w:rPr>
        <w:t>OBLIGATOIRES</w:t>
      </w:r>
      <w:r>
        <w:t xml:space="preserve"> à renseigner sont :</w:t>
      </w:r>
    </w:p>
    <w:p w14:paraId="442E0D23" w14:textId="77777777" w:rsidR="002D2FBA" w:rsidRDefault="002D2FBA" w:rsidP="002D2FBA">
      <w:pPr>
        <w:pStyle w:val="Paragraphedeliste"/>
        <w:numPr>
          <w:ilvl w:val="0"/>
          <w:numId w:val="1"/>
        </w:numPr>
      </w:pPr>
      <w:r>
        <w:t>La valeur moyenne du polluant ou entrer les données de qualité de l’air</w:t>
      </w:r>
    </w:p>
    <w:p w14:paraId="35BAC185" w14:textId="77777777" w:rsidR="002D2FBA" w:rsidRDefault="002D2FBA" w:rsidP="002D2FBA">
      <w:pPr>
        <w:pStyle w:val="Paragraphedeliste"/>
        <w:numPr>
          <w:ilvl w:val="0"/>
          <w:numId w:val="1"/>
        </w:numPr>
      </w:pPr>
      <w:r>
        <w:t>Le nom de la zone (si elle n’a pas été renseignée dans l’étape précédente)</w:t>
      </w:r>
    </w:p>
    <w:p w14:paraId="589EE1EF" w14:textId="77777777" w:rsidR="002D2FBA" w:rsidRPr="005D00C4" w:rsidRDefault="002D2FBA" w:rsidP="002D2FBA">
      <w:pPr>
        <w:rPr>
          <w:i/>
        </w:rPr>
      </w:pPr>
      <w:r w:rsidRPr="005D00C4">
        <w:rPr>
          <w:i/>
        </w:rPr>
        <w:t>NOTE : Les champs obligatoires doivent être remplis pour les calculs AirQ+.</w:t>
      </w:r>
    </w:p>
    <w:p w14:paraId="624E66C3" w14:textId="77777777" w:rsidR="002D2FBA" w:rsidRPr="005D00C4" w:rsidRDefault="002D2FBA" w:rsidP="002D2FBA">
      <w:pPr>
        <w:rPr>
          <w:i/>
        </w:rPr>
      </w:pPr>
      <w:r>
        <w:rPr>
          <w:i/>
        </w:rPr>
        <w:t>L</w:t>
      </w:r>
      <w:r w:rsidRPr="005D00C4">
        <w:rPr>
          <w:i/>
        </w:rPr>
        <w:t>orsqu'une nouvelle analyse est créée, ces champs contiennent des valeurs par défaut correctes. Par exemple, la valeur moyenne de la concentration est initialement fixée à zéro.</w:t>
      </w:r>
    </w:p>
    <w:p w14:paraId="74C937FB" w14:textId="77777777" w:rsidR="002D2FBA" w:rsidRDefault="002D2FBA" w:rsidP="002D2FBA"/>
    <w:p w14:paraId="66757CA9" w14:textId="77777777" w:rsidR="002D2FBA" w:rsidRDefault="002D2FBA" w:rsidP="002D2FBA">
      <w:r>
        <w:t xml:space="preserve">Les informations qui ne sont </w:t>
      </w:r>
      <w:r w:rsidRPr="005D00C4">
        <w:rPr>
          <w:u w:val="single"/>
        </w:rPr>
        <w:t>PAS OBLIGATOIRES</w:t>
      </w:r>
      <w:r>
        <w:t xml:space="preserve"> sont :</w:t>
      </w:r>
    </w:p>
    <w:p w14:paraId="443C4F90" w14:textId="477C4C93" w:rsidR="002D2FBA" w:rsidRPr="002B3EB6" w:rsidRDefault="002D2FBA" w:rsidP="002B3EB6">
      <w:pPr>
        <w:pStyle w:val="Paragraphedeliste"/>
        <w:numPr>
          <w:ilvl w:val="0"/>
          <w:numId w:val="1"/>
        </w:numPr>
      </w:pPr>
      <w:r w:rsidRPr="002B3EB6">
        <w:t xml:space="preserve">La population totale </w:t>
      </w:r>
      <w:r w:rsidR="002B3EB6" w:rsidRPr="00301377">
        <w:t xml:space="preserve">parce que la population analysée est extraite de la table de mortalité </w:t>
      </w:r>
    </w:p>
    <w:p w14:paraId="58C51DEE" w14:textId="77777777" w:rsidR="002D2FBA" w:rsidRDefault="002D2FBA" w:rsidP="002D2FBA">
      <w:pPr>
        <w:pStyle w:val="Paragraphedeliste"/>
        <w:numPr>
          <w:ilvl w:val="0"/>
          <w:numId w:val="1"/>
        </w:numPr>
      </w:pPr>
      <w:r>
        <w:t>La superficie de la zone (en km²)</w:t>
      </w:r>
    </w:p>
    <w:p w14:paraId="1D1A0C67" w14:textId="77777777" w:rsidR="002D2FBA" w:rsidRPr="005D00C4" w:rsidRDefault="002D2FBA" w:rsidP="002D2FBA">
      <w:pPr>
        <w:rPr>
          <w:i/>
        </w:rPr>
      </w:pPr>
      <w:r>
        <w:rPr>
          <w:i/>
        </w:rPr>
        <w:t xml:space="preserve">NOTE : </w:t>
      </w:r>
      <w:r w:rsidRPr="005D00C4">
        <w:rPr>
          <w:i/>
        </w:rPr>
        <w:t xml:space="preserve">Il est fortement recommandé de remplir ces champs à des fins de documentation. </w:t>
      </w:r>
      <w:r>
        <w:rPr>
          <w:i/>
        </w:rPr>
        <w:t>C</w:t>
      </w:r>
      <w:r w:rsidRPr="005D00C4">
        <w:rPr>
          <w:i/>
        </w:rPr>
        <w:t>es champs ne sont pas nécessaires pour le calcul.</w:t>
      </w:r>
    </w:p>
    <w:p w14:paraId="0B5A9633" w14:textId="77777777" w:rsidR="002D2FBA" w:rsidRDefault="002D2FBA" w:rsidP="002D2FBA">
      <w:pPr>
        <w:pStyle w:val="Paragraphedeliste"/>
      </w:pPr>
    </w:p>
    <w:p w14:paraId="2D40E0A5" w14:textId="77777777" w:rsidR="002D2FBA" w:rsidRDefault="002D2FBA" w:rsidP="002D2FBA"/>
    <w:p w14:paraId="2CF6E3AC" w14:textId="77777777" w:rsidR="002D2FBA" w:rsidRDefault="002D2FBA" w:rsidP="002D2FBA">
      <w:r>
        <w:t xml:space="preserve">Dans cet exemple (Figure 4), on va insérer la population : </w:t>
      </w:r>
      <w:r w:rsidRPr="000F0015">
        <w:t>6</w:t>
      </w:r>
      <w:r>
        <w:t> </w:t>
      </w:r>
      <w:r w:rsidRPr="000F0015">
        <w:t>507</w:t>
      </w:r>
      <w:r>
        <w:t> </w:t>
      </w:r>
      <w:r w:rsidRPr="000F0015">
        <w:t>783</w:t>
      </w:r>
      <w:r>
        <w:t xml:space="preserve"> dans le champ « </w:t>
      </w:r>
      <w:r w:rsidRPr="00493CBA">
        <w:rPr>
          <w:i/>
        </w:rPr>
        <w:t>Population totale</w:t>
      </w:r>
      <w:r>
        <w:rPr>
          <w:i/>
        </w:rPr>
        <w:t> ».</w:t>
      </w:r>
    </w:p>
    <w:p w14:paraId="16890D23" w14:textId="77777777" w:rsidR="002D2FBA" w:rsidRDefault="002D2FBA" w:rsidP="002D2FBA">
      <w:r>
        <w:t>En ce qui concerne les données de pollution, on peut soit choisir d’entrer la valeur moyenne du polluant, soit d’importer des données de qualité de l’air.</w:t>
      </w:r>
    </w:p>
    <w:p w14:paraId="22C9AE6A" w14:textId="77777777" w:rsidR="002D2FBA" w:rsidRDefault="002D2FBA" w:rsidP="002D2FBA">
      <w:r>
        <w:t>Si on choisit la 2</w:t>
      </w:r>
      <w:r w:rsidRPr="00493CBA">
        <w:rPr>
          <w:vertAlign w:val="superscript"/>
        </w:rPr>
        <w:t>ème</w:t>
      </w:r>
      <w:r>
        <w:t xml:space="preserve"> option, il faut cliquer sur  « </w:t>
      </w:r>
      <w:r w:rsidRPr="00493CBA">
        <w:rPr>
          <w:i/>
        </w:rPr>
        <w:t>entrer les données de qualité de l’air</w:t>
      </w:r>
      <w:r>
        <w:t> »</w:t>
      </w:r>
      <w:r w:rsidRPr="00966235">
        <w:t xml:space="preserve">. </w:t>
      </w:r>
      <w:r>
        <w:t>La fenêtre de la figure 5 s’ouvre.</w:t>
      </w:r>
    </w:p>
    <w:p w14:paraId="2E34E2EA" w14:textId="77777777" w:rsidR="002D2FBA" w:rsidRDefault="002D2FBA" w:rsidP="002D2FBA"/>
    <w:p w14:paraId="3DF1ECA5" w14:textId="77777777" w:rsidR="002D2FBA" w:rsidRDefault="002D2FBA" w:rsidP="002D2FBA"/>
    <w:p w14:paraId="05105448" w14:textId="77777777" w:rsidR="002D2FBA" w:rsidRDefault="002D2FBA" w:rsidP="002D2FBA"/>
    <w:p w14:paraId="5E7DF591" w14:textId="77777777" w:rsidR="002D2FBA" w:rsidRDefault="002D2FBA" w:rsidP="002D2FBA"/>
    <w:p w14:paraId="2142AA59" w14:textId="77777777" w:rsidR="002D2FBA" w:rsidRDefault="002D2FBA" w:rsidP="002D2FBA"/>
    <w:p w14:paraId="158DD6AD" w14:textId="77777777" w:rsidR="002D2FBA" w:rsidRDefault="002D2FBA" w:rsidP="002D2FBA"/>
    <w:p w14:paraId="7D71631E" w14:textId="77777777" w:rsidR="002D2FBA" w:rsidRDefault="002D2FBA" w:rsidP="002D2FBA"/>
    <w:p w14:paraId="01F45F8D" w14:textId="77777777" w:rsidR="002D2FBA" w:rsidRDefault="002D2FBA" w:rsidP="002D2FBA"/>
    <w:p w14:paraId="17025C32" w14:textId="77777777" w:rsidR="002D2FBA" w:rsidRDefault="002D2FBA" w:rsidP="002D2FBA"/>
    <w:p w14:paraId="5097B7F1" w14:textId="77777777" w:rsidR="002D2FBA" w:rsidRDefault="002D2FBA" w:rsidP="002D2FBA"/>
    <w:tbl>
      <w:tblPr>
        <w:tblW w:w="0" w:type="auto"/>
        <w:shd w:val="clear" w:color="auto" w:fill="004192"/>
        <w:tblLook w:val="01E0" w:firstRow="1" w:lastRow="1" w:firstColumn="1" w:lastColumn="1" w:noHBand="0" w:noVBand="0"/>
      </w:tblPr>
      <w:tblGrid>
        <w:gridCol w:w="9072"/>
      </w:tblGrid>
      <w:tr w:rsidR="002D2FBA" w:rsidRPr="00B06D3F" w14:paraId="1F96BAFF" w14:textId="77777777" w:rsidTr="007F51C2">
        <w:trPr>
          <w:trHeight w:val="715"/>
        </w:trPr>
        <w:tc>
          <w:tcPr>
            <w:tcW w:w="9639" w:type="dxa"/>
            <w:shd w:val="clear" w:color="auto" w:fill="004192"/>
          </w:tcPr>
          <w:p w14:paraId="65005FC0" w14:textId="77777777" w:rsidR="002D2FBA" w:rsidRPr="00FD37C6" w:rsidRDefault="002D2FBA" w:rsidP="007F51C2">
            <w:pPr>
              <w:pStyle w:val="Tableautitre"/>
              <w:spacing w:before="0" w:after="0"/>
            </w:pPr>
            <w:bookmarkStart w:id="1" w:name="_Ref448937424"/>
          </w:p>
          <w:p w14:paraId="5A663F49" w14:textId="77777777" w:rsidR="002D2FBA" w:rsidRPr="00F1519D" w:rsidRDefault="002D2FBA" w:rsidP="007F51C2">
            <w:pPr>
              <w:pStyle w:val="NumeroTableauFigure"/>
            </w:pPr>
            <w:r w:rsidRPr="00F1519D">
              <w:t>I F</w:t>
            </w:r>
            <w:r>
              <w:t>I</w:t>
            </w:r>
            <w:r w:rsidRPr="00F1519D">
              <w:t xml:space="preserve">GURE N° 4 I </w:t>
            </w:r>
            <w:r w:rsidRPr="00F1519D">
              <w:tab/>
            </w:r>
          </w:p>
        </w:tc>
      </w:tr>
    </w:tbl>
    <w:p w14:paraId="74909C8E" w14:textId="77777777" w:rsidR="002D2FBA" w:rsidRPr="00F1519D" w:rsidRDefault="002D2FBA" w:rsidP="002D2FBA">
      <w:pPr>
        <w:pStyle w:val="TitreTableauFigure"/>
      </w:pPr>
    </w:p>
    <w:p w14:paraId="6AD2DE35" w14:textId="06928171" w:rsidR="002D2FBA" w:rsidRDefault="002D2FBA" w:rsidP="002D2FBA">
      <w:pPr>
        <w:pStyle w:val="TitreTableauFigure"/>
      </w:pPr>
      <w:r>
        <w:t xml:space="preserve">AirQ+ : </w:t>
      </w:r>
      <w:r w:rsidRPr="00E567C1">
        <w:t>Fenêtre ‘</w:t>
      </w:r>
      <w:r w:rsidRPr="00E567C1">
        <w:rPr>
          <w:i/>
        </w:rPr>
        <w:t>Propriétés d'analyse</w:t>
      </w:r>
      <w:r w:rsidRPr="00E567C1">
        <w:t>’ pour la pollution de l'air ambiant - PM2</w:t>
      </w:r>
      <w:r w:rsidR="00BF1249">
        <w:t>,</w:t>
      </w:r>
      <w:r w:rsidRPr="00E567C1">
        <w:t>5 - long terme</w:t>
      </w:r>
    </w:p>
    <w:bookmarkEnd w:id="1"/>
    <w:p w14:paraId="36A38360" w14:textId="3D7C7DF4" w:rsidR="002D2FBA" w:rsidRDefault="002D2FBA" w:rsidP="002D2FBA">
      <w:pPr>
        <w:rPr>
          <w:noProof/>
          <w:snapToGrid/>
        </w:rPr>
      </w:pPr>
      <w:r w:rsidRPr="00DA08EF">
        <w:rPr>
          <w:noProof/>
          <w:snapToGrid/>
        </w:rPr>
        <w:t xml:space="preserve"> </w:t>
      </w:r>
      <w:r w:rsidR="00BF1249">
        <w:rPr>
          <w:noProof/>
          <w:snapToGrid/>
        </w:rPr>
        <w:drawing>
          <wp:inline distT="0" distB="0" distL="0" distR="0" wp14:anchorId="5C8F29E8" wp14:editId="7B479A58">
            <wp:extent cx="4815678" cy="4032447"/>
            <wp:effectExtent l="0" t="0" r="4445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293" cy="403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3D7E9" w14:textId="77777777" w:rsidR="002D2FBA" w:rsidRDefault="002D2FBA" w:rsidP="002D2FBA">
      <w:pPr>
        <w:rPr>
          <w:noProof/>
          <w:snapToGrid/>
        </w:rPr>
      </w:pPr>
    </w:p>
    <w:p w14:paraId="5AAEDDE9" w14:textId="77777777" w:rsidR="002D2FBA" w:rsidRDefault="002D2FBA" w:rsidP="002D2FBA">
      <w:pPr>
        <w:rPr>
          <w:noProof/>
          <w:snapToGrid/>
        </w:rPr>
      </w:pPr>
    </w:p>
    <w:p w14:paraId="01840C70" w14:textId="77777777" w:rsidR="002D2FBA" w:rsidRDefault="002D2FBA" w:rsidP="002D2FBA">
      <w:pPr>
        <w:rPr>
          <w:noProof/>
          <w:snapToGrid/>
        </w:rPr>
      </w:pPr>
    </w:p>
    <w:p w14:paraId="41DDE188" w14:textId="77777777" w:rsidR="002D2FBA" w:rsidRDefault="002D2FBA" w:rsidP="002D2FBA">
      <w:pPr>
        <w:rPr>
          <w:noProof/>
          <w:snapToGrid/>
        </w:rPr>
      </w:pPr>
    </w:p>
    <w:p w14:paraId="7821E4C3" w14:textId="77777777" w:rsidR="002D2FBA" w:rsidRDefault="002D2FBA" w:rsidP="002D2FBA">
      <w:pPr>
        <w:rPr>
          <w:noProof/>
          <w:snapToGrid/>
        </w:rPr>
      </w:pPr>
    </w:p>
    <w:p w14:paraId="475207A6" w14:textId="77777777" w:rsidR="002D2FBA" w:rsidRDefault="002D2FBA" w:rsidP="002D2FBA">
      <w:pPr>
        <w:rPr>
          <w:noProof/>
          <w:snapToGrid/>
        </w:rPr>
      </w:pPr>
    </w:p>
    <w:p w14:paraId="30FC3A0E" w14:textId="77777777" w:rsidR="002D2FBA" w:rsidRDefault="002D2FBA" w:rsidP="002D2FBA">
      <w:pPr>
        <w:rPr>
          <w:noProof/>
          <w:snapToGrid/>
        </w:rPr>
      </w:pPr>
    </w:p>
    <w:p w14:paraId="574C0141" w14:textId="77777777" w:rsidR="002D2FBA" w:rsidRDefault="002D2FBA" w:rsidP="002D2FBA">
      <w:pPr>
        <w:rPr>
          <w:noProof/>
          <w:snapToGrid/>
        </w:rPr>
      </w:pPr>
    </w:p>
    <w:p w14:paraId="19D8F01C" w14:textId="77777777" w:rsidR="002D2FBA" w:rsidRDefault="002D2FBA" w:rsidP="002D2FBA">
      <w:pPr>
        <w:rPr>
          <w:noProof/>
          <w:snapToGrid/>
        </w:rPr>
      </w:pPr>
    </w:p>
    <w:p w14:paraId="32801F51" w14:textId="77777777" w:rsidR="002D2FBA" w:rsidRDefault="002D2FBA" w:rsidP="002D2FBA">
      <w:pPr>
        <w:rPr>
          <w:noProof/>
          <w:snapToGrid/>
        </w:rPr>
      </w:pPr>
    </w:p>
    <w:p w14:paraId="783E224A" w14:textId="77777777" w:rsidR="002D2FBA" w:rsidRDefault="002D2FBA" w:rsidP="002D2FBA">
      <w:pPr>
        <w:rPr>
          <w:noProof/>
          <w:snapToGrid/>
        </w:rPr>
      </w:pPr>
    </w:p>
    <w:p w14:paraId="02B6761C" w14:textId="77777777" w:rsidR="002D2FBA" w:rsidRDefault="002D2FBA" w:rsidP="002D2FBA">
      <w:pPr>
        <w:rPr>
          <w:noProof/>
          <w:snapToGrid/>
        </w:rPr>
      </w:pPr>
    </w:p>
    <w:p w14:paraId="2CDDC227" w14:textId="77777777" w:rsidR="002D2FBA" w:rsidRDefault="002D2FBA" w:rsidP="002D2FBA">
      <w:pPr>
        <w:rPr>
          <w:noProof/>
          <w:snapToGrid/>
        </w:rPr>
      </w:pPr>
    </w:p>
    <w:p w14:paraId="526E0B91" w14:textId="77777777" w:rsidR="002D2FBA" w:rsidRDefault="002D2FBA" w:rsidP="002D2FBA">
      <w:pPr>
        <w:rPr>
          <w:noProof/>
          <w:snapToGrid/>
        </w:rPr>
      </w:pPr>
    </w:p>
    <w:p w14:paraId="62BE8966" w14:textId="0CFB0140" w:rsidR="002D2FBA" w:rsidRDefault="002D2FBA" w:rsidP="002D2FBA">
      <w:pPr>
        <w:rPr>
          <w:noProof/>
          <w:snapToGrid/>
        </w:rPr>
      </w:pPr>
    </w:p>
    <w:p w14:paraId="146BAD0C" w14:textId="37C910A2" w:rsidR="00D67FBD" w:rsidRDefault="00D67FBD" w:rsidP="002D2FBA">
      <w:pPr>
        <w:rPr>
          <w:noProof/>
          <w:snapToGrid/>
        </w:rPr>
      </w:pPr>
    </w:p>
    <w:p w14:paraId="378FE5C0" w14:textId="266DDADB" w:rsidR="00D67FBD" w:rsidRDefault="00D67FBD" w:rsidP="002D2FBA">
      <w:pPr>
        <w:rPr>
          <w:noProof/>
          <w:snapToGrid/>
        </w:rPr>
      </w:pPr>
    </w:p>
    <w:p w14:paraId="5F71D0CF" w14:textId="2C647974" w:rsidR="00D67FBD" w:rsidRDefault="00D67FBD" w:rsidP="002D2FBA">
      <w:pPr>
        <w:rPr>
          <w:noProof/>
          <w:snapToGrid/>
        </w:rPr>
      </w:pPr>
    </w:p>
    <w:p w14:paraId="25943255" w14:textId="77777777" w:rsidR="00D67FBD" w:rsidRDefault="00D67FBD" w:rsidP="002D2FBA">
      <w:pPr>
        <w:rPr>
          <w:noProof/>
          <w:snapToGrid/>
        </w:rPr>
      </w:pPr>
    </w:p>
    <w:p w14:paraId="42A9F216" w14:textId="77777777" w:rsidR="002D2FBA" w:rsidRDefault="002D2FBA" w:rsidP="002D2FBA">
      <w:pPr>
        <w:rPr>
          <w:noProof/>
          <w:snapToGrid/>
        </w:rPr>
      </w:pPr>
    </w:p>
    <w:p w14:paraId="0CB8FC47" w14:textId="77777777" w:rsidR="002D2FBA" w:rsidRPr="00B06D3F" w:rsidRDefault="002D2FBA" w:rsidP="002D2FBA"/>
    <w:p w14:paraId="2FB2F1CE" w14:textId="77777777" w:rsidR="002D2FBA" w:rsidRPr="008715C0" w:rsidRDefault="002D2FBA" w:rsidP="002D2FBA"/>
    <w:tbl>
      <w:tblPr>
        <w:tblW w:w="0" w:type="auto"/>
        <w:shd w:val="clear" w:color="auto" w:fill="004192"/>
        <w:tblLook w:val="01E0" w:firstRow="1" w:lastRow="1" w:firstColumn="1" w:lastColumn="1" w:noHBand="0" w:noVBand="0"/>
      </w:tblPr>
      <w:tblGrid>
        <w:gridCol w:w="9072"/>
      </w:tblGrid>
      <w:tr w:rsidR="002D2FBA" w:rsidRPr="00B06D3F" w14:paraId="13ED5B5D" w14:textId="77777777" w:rsidTr="007F51C2">
        <w:trPr>
          <w:trHeight w:val="715"/>
        </w:trPr>
        <w:tc>
          <w:tcPr>
            <w:tcW w:w="9072" w:type="dxa"/>
            <w:shd w:val="clear" w:color="auto" w:fill="004192"/>
          </w:tcPr>
          <w:p w14:paraId="7EF346A5" w14:textId="77777777" w:rsidR="002D2FBA" w:rsidRPr="00FD37C6" w:rsidRDefault="002D2FBA" w:rsidP="007F51C2">
            <w:pPr>
              <w:pStyle w:val="Tableautitre"/>
              <w:spacing w:before="0" w:after="0"/>
            </w:pPr>
            <w:r>
              <w:lastRenderedPageBreak/>
              <w:br w:type="page"/>
            </w:r>
          </w:p>
          <w:p w14:paraId="55EA2DD6" w14:textId="77777777" w:rsidR="002D2FBA" w:rsidRPr="00F1519D" w:rsidRDefault="002D2FBA" w:rsidP="007F51C2">
            <w:pPr>
              <w:pStyle w:val="NumeroTableauFigure"/>
            </w:pPr>
            <w:r w:rsidRPr="00F1519D">
              <w:t>I F</w:t>
            </w:r>
            <w:r>
              <w:t>I</w:t>
            </w:r>
            <w:r w:rsidRPr="00F1519D">
              <w:t xml:space="preserve">GURE N° </w:t>
            </w:r>
            <w:r>
              <w:t>5</w:t>
            </w:r>
            <w:r w:rsidRPr="00F1519D">
              <w:t xml:space="preserve"> I </w:t>
            </w:r>
            <w:r w:rsidRPr="00F1519D">
              <w:tab/>
            </w:r>
          </w:p>
        </w:tc>
      </w:tr>
    </w:tbl>
    <w:p w14:paraId="13D6B27D" w14:textId="77777777" w:rsidR="002D2FBA" w:rsidRPr="00F1519D" w:rsidRDefault="002D2FBA" w:rsidP="002D2FBA">
      <w:pPr>
        <w:pStyle w:val="TitreTableauFigure"/>
      </w:pPr>
    </w:p>
    <w:p w14:paraId="2E8A25A0" w14:textId="77777777" w:rsidR="002D2FBA" w:rsidRDefault="002D2FBA" w:rsidP="002D2FBA">
      <w:pPr>
        <w:pStyle w:val="TitreTableauFigure"/>
      </w:pPr>
      <w:r>
        <w:t xml:space="preserve">AirQ+ : </w:t>
      </w:r>
      <w:r w:rsidRPr="00E567C1">
        <w:t>Fenêtre ‘</w:t>
      </w:r>
      <w:r>
        <w:rPr>
          <w:i/>
        </w:rPr>
        <w:t>Données de qualité de l’air</w:t>
      </w:r>
      <w:r w:rsidRPr="00E567C1">
        <w:t>’ pour la pollution de l'air ambiant - PM2.5 - long terme</w:t>
      </w:r>
    </w:p>
    <w:p w14:paraId="04D23828" w14:textId="77777777" w:rsidR="002D2FBA" w:rsidRDefault="002D2FBA" w:rsidP="002D2FBA"/>
    <w:p w14:paraId="0FC0FF85" w14:textId="33C585BD" w:rsidR="002D2FBA" w:rsidRDefault="00301377" w:rsidP="002D2FB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B60D54" wp14:editId="152C0976">
                <wp:simplePos x="0" y="0"/>
                <wp:positionH relativeFrom="margin">
                  <wp:align>left</wp:align>
                </wp:positionH>
                <wp:positionV relativeFrom="paragraph">
                  <wp:posOffset>384810</wp:posOffset>
                </wp:positionV>
                <wp:extent cx="1314450" cy="2667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667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519F8" id="Rectangle 8" o:spid="_x0000_s1026" style="position:absolute;margin-left:0;margin-top:30.3pt;width:103.5pt;height:21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" filled="f" strokecolor="red" strokeweight="1.75pt">
                <w10:wrap anchorx="margin"/>
              </v:rect>
            </w:pict>
          </mc:Fallback>
        </mc:AlternateContent>
      </w:r>
      <w:r w:rsidR="002D2FBA" w:rsidRPr="00591C13">
        <w:rPr>
          <w:noProof/>
          <w:snapToGrid/>
        </w:rPr>
        <w:t xml:space="preserve"> </w:t>
      </w:r>
      <w:r w:rsidR="00BF1249">
        <w:rPr>
          <w:noProof/>
          <w:snapToGrid/>
        </w:rPr>
        <w:drawing>
          <wp:inline distT="0" distB="0" distL="0" distR="0" wp14:anchorId="2CC221B4" wp14:editId="4676F885">
            <wp:extent cx="5758815" cy="484441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484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75280" w14:textId="77777777" w:rsidR="002D2FBA" w:rsidRDefault="002D2FBA" w:rsidP="002D2FBA"/>
    <w:p w14:paraId="6BC4F9C0" w14:textId="77777777" w:rsidR="002D2FBA" w:rsidRDefault="002D2FBA" w:rsidP="002D2FBA">
      <w:r>
        <w:t>Cliquer sur l’onglet « Importer les données », la fenêtre suivante s’ouvre (Figure 6).</w:t>
      </w:r>
    </w:p>
    <w:p w14:paraId="7EAE2153" w14:textId="77777777" w:rsidR="002D2FBA" w:rsidRDefault="002D2FBA" w:rsidP="002D2FBA"/>
    <w:p w14:paraId="7941609D" w14:textId="77777777" w:rsidR="002D2FBA" w:rsidRDefault="002D2FBA" w:rsidP="002D2FBA">
      <w:r>
        <w:t xml:space="preserve">Pour rappel, dans cet exemple, nous sommes dans le cas d’une analyse sur </w:t>
      </w:r>
      <w:r w:rsidRPr="00591C13">
        <w:rPr>
          <w:u w:val="single"/>
        </w:rPr>
        <w:t>UNE SEULE</w:t>
      </w:r>
      <w:r>
        <w:t xml:space="preserve"> zone.</w:t>
      </w:r>
    </w:p>
    <w:p w14:paraId="5C2463CA" w14:textId="77777777" w:rsidR="002D2FBA" w:rsidRDefault="002D2FBA" w:rsidP="002D2FBA">
      <w:r>
        <w:t>Les étapes :</w:t>
      </w:r>
    </w:p>
    <w:p w14:paraId="7B1526DA" w14:textId="77777777" w:rsidR="002D2FBA" w:rsidRDefault="002D2FBA" w:rsidP="002D2FBA">
      <w:pPr>
        <w:pStyle w:val="Paragraphedeliste"/>
        <w:numPr>
          <w:ilvl w:val="0"/>
          <w:numId w:val="1"/>
        </w:numPr>
      </w:pPr>
      <w:r>
        <w:t>Importation des données avec l’onglet</w:t>
      </w:r>
      <w:r>
        <w:rPr>
          <w:noProof/>
          <w:snapToGrid/>
        </w:rPr>
        <w:drawing>
          <wp:inline distT="0" distB="0" distL="0" distR="0" wp14:anchorId="73BFE61C" wp14:editId="23EBA840">
            <wp:extent cx="295275" cy="276225"/>
            <wp:effectExtent l="0" t="0" r="9525" b="952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 ;</w:t>
      </w:r>
    </w:p>
    <w:p w14:paraId="75807DAA" w14:textId="77777777" w:rsidR="002D2FBA" w:rsidRDefault="002D2FBA" w:rsidP="002D2FBA">
      <w:pPr>
        <w:pStyle w:val="Paragraphedeliste"/>
        <w:numPr>
          <w:ilvl w:val="0"/>
          <w:numId w:val="1"/>
        </w:numPr>
      </w:pPr>
      <w:r w:rsidRPr="006E6BCD">
        <w:rPr>
          <w:i/>
        </w:rPr>
        <w:t>« </w:t>
      </w:r>
      <w:r w:rsidRPr="00591C13">
        <w:rPr>
          <w:b/>
          <w:i/>
        </w:rPr>
        <w:t>Sélectionnez le profil de l’analyse de zone</w:t>
      </w:r>
      <w:r>
        <w:rPr>
          <w:i/>
        </w:rPr>
        <w:t> </w:t>
      </w:r>
      <w:r w:rsidRPr="006E6BCD">
        <w:rPr>
          <w:i/>
        </w:rPr>
        <w:t>»</w:t>
      </w:r>
      <w:r>
        <w:rPr>
          <w:i/>
        </w:rPr>
        <w:t xml:space="preserve"> : </w:t>
      </w:r>
      <w:r>
        <w:t>Cocher « </w:t>
      </w:r>
      <w:r w:rsidRPr="00591C13">
        <w:rPr>
          <w:i/>
        </w:rPr>
        <w:t>Unique</w:t>
      </w:r>
      <w:r>
        <w:t> »</w:t>
      </w:r>
    </w:p>
    <w:p w14:paraId="5D61E85A" w14:textId="77777777" w:rsidR="002D2FBA" w:rsidRDefault="002D2FBA" w:rsidP="002D2FBA">
      <w:pPr>
        <w:pStyle w:val="Paragraphedeliste"/>
        <w:numPr>
          <w:ilvl w:val="0"/>
          <w:numId w:val="1"/>
        </w:numPr>
      </w:pPr>
      <w:r w:rsidRPr="00591C13">
        <w:rPr>
          <w:i/>
        </w:rPr>
        <w:t>« </w:t>
      </w:r>
      <w:r w:rsidRPr="00591C13">
        <w:rPr>
          <w:b/>
          <w:i/>
        </w:rPr>
        <w:t>S</w:t>
      </w:r>
      <w:r>
        <w:rPr>
          <w:b/>
          <w:i/>
        </w:rPr>
        <w:t>électionnez le format d’entrée </w:t>
      </w:r>
      <w:r w:rsidRPr="00591C13">
        <w:rPr>
          <w:i/>
        </w:rPr>
        <w:t>»</w:t>
      </w:r>
      <w:r>
        <w:t xml:space="preserve"> préciser si les données insérées sont des valeurs journalières, des données agrégées ou des moyennes annuelles (dans cet exemple il s’agit de données journalières) ;</w:t>
      </w:r>
    </w:p>
    <w:p w14:paraId="101BBFCE" w14:textId="77777777" w:rsidR="002D2FBA" w:rsidRDefault="002D2FBA" w:rsidP="002D2FBA">
      <w:pPr>
        <w:pStyle w:val="Paragraphedeliste"/>
        <w:numPr>
          <w:ilvl w:val="0"/>
          <w:numId w:val="1"/>
        </w:numPr>
      </w:pPr>
      <w:r w:rsidRPr="00591C13">
        <w:rPr>
          <w:i/>
        </w:rPr>
        <w:t>« </w:t>
      </w:r>
      <w:r w:rsidRPr="00591C13">
        <w:rPr>
          <w:b/>
          <w:i/>
        </w:rPr>
        <w:t>Sélectionnez le séparateur décimale</w:t>
      </w:r>
      <w:r>
        <w:rPr>
          <w:i/>
        </w:rPr>
        <w:t> </w:t>
      </w:r>
      <w:r w:rsidRPr="00591C13">
        <w:rPr>
          <w:i/>
        </w:rPr>
        <w:t>»</w:t>
      </w:r>
      <w:r>
        <w:t xml:space="preserve"> préciser si les décimales des données insérées sont séparées par une virgule ou un point (dans cet exemple le séparateur est une virgule) ;</w:t>
      </w:r>
    </w:p>
    <w:p w14:paraId="139A0606" w14:textId="77777777" w:rsidR="002D2FBA" w:rsidRDefault="002D2FBA" w:rsidP="002D2FBA">
      <w:pPr>
        <w:pStyle w:val="Paragraphedeliste"/>
        <w:numPr>
          <w:ilvl w:val="0"/>
          <w:numId w:val="1"/>
        </w:numPr>
      </w:pPr>
      <w:r w:rsidRPr="00575774">
        <w:t>Sélectionner les variables du fichier qui correspondent à la</w:t>
      </w:r>
      <w:r w:rsidRPr="00591C13">
        <w:rPr>
          <w:i/>
        </w:rPr>
        <w:t xml:space="preserve"> « </w:t>
      </w:r>
      <w:r w:rsidRPr="001E71FF">
        <w:rPr>
          <w:i/>
          <w:shd w:val="clear" w:color="auto" w:fill="FFE599" w:themeFill="accent4" w:themeFillTint="66"/>
        </w:rPr>
        <w:t>Date</w:t>
      </w:r>
      <w:r w:rsidRPr="00591C13">
        <w:rPr>
          <w:i/>
        </w:rPr>
        <w:t xml:space="preserve"> », </w:t>
      </w:r>
      <w:r w:rsidRPr="00575774">
        <w:t>à la</w:t>
      </w:r>
      <w:r w:rsidRPr="00591C13">
        <w:rPr>
          <w:i/>
        </w:rPr>
        <w:t xml:space="preserve"> « </w:t>
      </w:r>
      <w:r w:rsidRPr="001E71FF">
        <w:rPr>
          <w:i/>
          <w:shd w:val="clear" w:color="auto" w:fill="BE9ED6"/>
        </w:rPr>
        <w:t>Moyenne journalière</w:t>
      </w:r>
      <w:r w:rsidRPr="00591C13">
        <w:rPr>
          <w:i/>
        </w:rPr>
        <w:t xml:space="preserve"> » </w:t>
      </w:r>
    </w:p>
    <w:tbl>
      <w:tblPr>
        <w:tblW w:w="0" w:type="auto"/>
        <w:shd w:val="clear" w:color="auto" w:fill="004192"/>
        <w:tblLook w:val="01E0" w:firstRow="1" w:lastRow="1" w:firstColumn="1" w:lastColumn="1" w:noHBand="0" w:noVBand="0"/>
      </w:tblPr>
      <w:tblGrid>
        <w:gridCol w:w="9072"/>
      </w:tblGrid>
      <w:tr w:rsidR="002D2FBA" w:rsidRPr="00B06D3F" w14:paraId="503F6361" w14:textId="77777777" w:rsidTr="007F51C2">
        <w:trPr>
          <w:trHeight w:val="715"/>
        </w:trPr>
        <w:tc>
          <w:tcPr>
            <w:tcW w:w="9639" w:type="dxa"/>
            <w:shd w:val="clear" w:color="auto" w:fill="004192"/>
          </w:tcPr>
          <w:p w14:paraId="16E5D2E6" w14:textId="77777777" w:rsidR="002D2FBA" w:rsidRPr="00FD37C6" w:rsidRDefault="002D2FBA" w:rsidP="007F51C2">
            <w:pPr>
              <w:pStyle w:val="Tableautitre"/>
              <w:spacing w:before="0" w:after="0"/>
            </w:pPr>
          </w:p>
          <w:p w14:paraId="09D8764F" w14:textId="77777777" w:rsidR="002D2FBA" w:rsidRPr="00F1519D" w:rsidRDefault="002D2FBA" w:rsidP="007F51C2">
            <w:pPr>
              <w:pStyle w:val="NumeroTableauFigure"/>
            </w:pPr>
            <w:r w:rsidRPr="00F1519D">
              <w:t>I F</w:t>
            </w:r>
            <w:r>
              <w:t>I</w:t>
            </w:r>
            <w:r w:rsidRPr="00F1519D">
              <w:t xml:space="preserve">GURE N° </w:t>
            </w:r>
            <w:r>
              <w:t>6</w:t>
            </w:r>
            <w:r w:rsidRPr="00F1519D">
              <w:t xml:space="preserve"> I </w:t>
            </w:r>
            <w:r w:rsidRPr="00F1519D">
              <w:tab/>
            </w:r>
          </w:p>
        </w:tc>
      </w:tr>
    </w:tbl>
    <w:p w14:paraId="2AD4604C" w14:textId="77777777" w:rsidR="002D2FBA" w:rsidRPr="00F1519D" w:rsidRDefault="002D2FBA" w:rsidP="002D2FBA">
      <w:pPr>
        <w:pStyle w:val="TitreTableauFigure"/>
      </w:pPr>
    </w:p>
    <w:p w14:paraId="307F1834" w14:textId="77777777" w:rsidR="002D2FBA" w:rsidRDefault="002D2FBA" w:rsidP="002D2FBA">
      <w:pPr>
        <w:pStyle w:val="TitreTableauFigure"/>
      </w:pPr>
      <w:r>
        <w:t xml:space="preserve">AirQ+ : </w:t>
      </w:r>
      <w:r w:rsidRPr="00E567C1">
        <w:t>Fenêtre ‘</w:t>
      </w:r>
      <w:r>
        <w:rPr>
          <w:i/>
        </w:rPr>
        <w:t>Importer des données de qualité de l’air</w:t>
      </w:r>
      <w:r w:rsidRPr="00E567C1">
        <w:t>’ pour la pollution de l'air ambiant - PM2.5 - long terme</w:t>
      </w:r>
      <w:r>
        <w:t xml:space="preserve"> – exemple importation d’une seule zone et plusieurs polluants</w:t>
      </w:r>
    </w:p>
    <w:p w14:paraId="16D05F81" w14:textId="77777777" w:rsidR="002D2FBA" w:rsidRDefault="002D2FBA" w:rsidP="002D2FBA">
      <w:pPr>
        <w:rPr>
          <w:noProof/>
          <w:snapToGrid/>
        </w:rPr>
      </w:pPr>
      <w:r>
        <w:rPr>
          <w:noProof/>
          <w:snapToGrid/>
        </w:rPr>
        <w:drawing>
          <wp:inline distT="0" distB="0" distL="0" distR="0" wp14:anchorId="22A25E44" wp14:editId="4A072753">
            <wp:extent cx="5731510" cy="5496560"/>
            <wp:effectExtent l="0" t="0" r="2540" b="889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9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519D">
        <w:rPr>
          <w:noProof/>
          <w:snapToGrid/>
        </w:rPr>
        <w:t xml:space="preserve"> </w:t>
      </w:r>
    </w:p>
    <w:p w14:paraId="52EC9ED2" w14:textId="77777777" w:rsidR="002D2FBA" w:rsidRDefault="002D2FBA" w:rsidP="002D2FBA">
      <w:pPr>
        <w:rPr>
          <w:noProof/>
          <w:snapToGrid/>
        </w:rPr>
      </w:pPr>
    </w:p>
    <w:p w14:paraId="5A95B8A7" w14:textId="77777777" w:rsidR="002D2FBA" w:rsidRDefault="002D2FBA" w:rsidP="002D2FBA">
      <w:pPr>
        <w:rPr>
          <w:noProof/>
          <w:snapToGrid/>
        </w:rPr>
      </w:pPr>
      <w:r>
        <w:rPr>
          <w:noProof/>
          <w:snapToGrid/>
        </w:rPr>
        <w:t xml:space="preserve">Une fois l’ensemble des informations renseignées, cliquez sur </w:t>
      </w:r>
      <w:r w:rsidRPr="00B80C99">
        <w:rPr>
          <w:b/>
          <w:noProof/>
          <w:snapToGrid/>
        </w:rPr>
        <w:t>OK</w:t>
      </w:r>
      <w:r>
        <w:rPr>
          <w:noProof/>
          <w:snapToGrid/>
        </w:rPr>
        <w:t xml:space="preserve">. </w:t>
      </w:r>
    </w:p>
    <w:p w14:paraId="3CD9BAC1" w14:textId="77777777" w:rsidR="002D2FBA" w:rsidRDefault="002D2FBA" w:rsidP="002D2FBA">
      <w:pPr>
        <w:rPr>
          <w:noProof/>
          <w:snapToGrid/>
        </w:rPr>
      </w:pPr>
      <w:r>
        <w:rPr>
          <w:noProof/>
          <w:snapToGrid/>
        </w:rPr>
        <w:t>On revient à la fenêtre « </w:t>
      </w:r>
      <w:r w:rsidRPr="00B80C99">
        <w:rPr>
          <w:i/>
          <w:noProof/>
          <w:snapToGrid/>
        </w:rPr>
        <w:t>Données de qualité de l’air</w:t>
      </w:r>
      <w:r>
        <w:rPr>
          <w:noProof/>
          <w:snapToGrid/>
        </w:rPr>
        <w:t xml:space="preserve"> » (Figure 7). </w:t>
      </w:r>
    </w:p>
    <w:p w14:paraId="07DE6106" w14:textId="77777777" w:rsidR="002D2FBA" w:rsidRDefault="002D2FBA" w:rsidP="002D2FBA">
      <w:pPr>
        <w:rPr>
          <w:b/>
          <w:noProof/>
          <w:snapToGrid/>
          <w:color w:val="FF0000"/>
        </w:rPr>
      </w:pPr>
      <w:r w:rsidRPr="00B80C99">
        <w:rPr>
          <w:b/>
          <w:noProof/>
          <w:snapToGrid/>
          <w:color w:val="FF0000"/>
        </w:rPr>
        <w:t>ATTENTION de bien vérifier que les données se sont bien importées.</w:t>
      </w:r>
    </w:p>
    <w:p w14:paraId="793CCDA9" w14:textId="77777777" w:rsidR="002D2FBA" w:rsidRDefault="002D2FBA" w:rsidP="002D2FBA">
      <w:pPr>
        <w:rPr>
          <w:noProof/>
          <w:snapToGrid/>
        </w:rPr>
      </w:pPr>
    </w:p>
    <w:p w14:paraId="2CAACC39" w14:textId="77777777" w:rsidR="002D2FBA" w:rsidRDefault="002D2FBA" w:rsidP="002D2FBA">
      <w:pPr>
        <w:rPr>
          <w:noProof/>
          <w:snapToGrid/>
        </w:rPr>
      </w:pPr>
    </w:p>
    <w:p w14:paraId="2F697C0D" w14:textId="77777777" w:rsidR="002D2FBA" w:rsidRDefault="002D2FBA" w:rsidP="002D2FBA">
      <w:pPr>
        <w:rPr>
          <w:noProof/>
          <w:snapToGrid/>
        </w:rPr>
      </w:pPr>
    </w:p>
    <w:p w14:paraId="7CC8D44A" w14:textId="77777777" w:rsidR="002D2FBA" w:rsidRDefault="002D2FBA" w:rsidP="002D2FBA">
      <w:pPr>
        <w:rPr>
          <w:noProof/>
          <w:snapToGrid/>
        </w:rPr>
      </w:pPr>
    </w:p>
    <w:p w14:paraId="3F85055B" w14:textId="77777777" w:rsidR="002D2FBA" w:rsidRDefault="002D2FBA" w:rsidP="002D2FBA">
      <w:pPr>
        <w:rPr>
          <w:noProof/>
          <w:snapToGrid/>
        </w:rPr>
      </w:pPr>
    </w:p>
    <w:p w14:paraId="6D2B523E" w14:textId="77777777" w:rsidR="002D2FBA" w:rsidRDefault="002D2FBA" w:rsidP="002D2FBA">
      <w:pPr>
        <w:rPr>
          <w:noProof/>
          <w:snapToGrid/>
        </w:rPr>
      </w:pPr>
    </w:p>
    <w:p w14:paraId="31FEFABA" w14:textId="77777777" w:rsidR="002D2FBA" w:rsidRDefault="002D2FBA" w:rsidP="002D2FBA">
      <w:pPr>
        <w:rPr>
          <w:noProof/>
          <w:snapToGrid/>
        </w:rPr>
      </w:pPr>
    </w:p>
    <w:p w14:paraId="1DE5821F" w14:textId="77777777" w:rsidR="002D2FBA" w:rsidRDefault="002D2FBA" w:rsidP="002D2FBA">
      <w:pPr>
        <w:rPr>
          <w:noProof/>
          <w:snapToGrid/>
        </w:rPr>
      </w:pPr>
    </w:p>
    <w:p w14:paraId="08BD9CDB" w14:textId="77777777" w:rsidR="002D2FBA" w:rsidRDefault="002D2FBA" w:rsidP="002D2FBA">
      <w:pPr>
        <w:rPr>
          <w:noProof/>
          <w:snapToGrid/>
        </w:rPr>
      </w:pPr>
    </w:p>
    <w:p w14:paraId="6D373CDF" w14:textId="77777777" w:rsidR="002D2FBA" w:rsidRDefault="002D2FBA" w:rsidP="002D2FBA">
      <w:pPr>
        <w:rPr>
          <w:noProof/>
          <w:snapToGrid/>
        </w:rPr>
      </w:pPr>
    </w:p>
    <w:tbl>
      <w:tblPr>
        <w:tblW w:w="0" w:type="auto"/>
        <w:shd w:val="clear" w:color="auto" w:fill="004192"/>
        <w:tblLook w:val="01E0" w:firstRow="1" w:lastRow="1" w:firstColumn="1" w:lastColumn="1" w:noHBand="0" w:noVBand="0"/>
      </w:tblPr>
      <w:tblGrid>
        <w:gridCol w:w="9072"/>
      </w:tblGrid>
      <w:tr w:rsidR="002D2FBA" w:rsidRPr="00B06D3F" w14:paraId="7614B8E3" w14:textId="77777777" w:rsidTr="007F51C2">
        <w:trPr>
          <w:trHeight w:val="715"/>
        </w:trPr>
        <w:tc>
          <w:tcPr>
            <w:tcW w:w="9639" w:type="dxa"/>
            <w:shd w:val="clear" w:color="auto" w:fill="004192"/>
          </w:tcPr>
          <w:p w14:paraId="7B272381" w14:textId="77777777" w:rsidR="002D2FBA" w:rsidRPr="00FD37C6" w:rsidRDefault="002D2FBA" w:rsidP="007F51C2">
            <w:pPr>
              <w:pStyle w:val="Tableautitre"/>
              <w:spacing w:before="0" w:after="0"/>
            </w:pPr>
          </w:p>
          <w:p w14:paraId="278A0CAB" w14:textId="77777777" w:rsidR="002D2FBA" w:rsidRPr="00F1519D" w:rsidRDefault="002D2FBA" w:rsidP="007F51C2">
            <w:pPr>
              <w:pStyle w:val="NumeroTableauFigure"/>
            </w:pPr>
            <w:r w:rsidRPr="00F1519D">
              <w:t>I F</w:t>
            </w:r>
            <w:r>
              <w:t>I</w:t>
            </w:r>
            <w:r w:rsidRPr="00F1519D">
              <w:t xml:space="preserve">GURE N° </w:t>
            </w:r>
            <w:r>
              <w:t>7</w:t>
            </w:r>
            <w:r w:rsidRPr="00F1519D">
              <w:t xml:space="preserve"> I </w:t>
            </w:r>
            <w:r w:rsidRPr="00F1519D">
              <w:tab/>
            </w:r>
          </w:p>
        </w:tc>
      </w:tr>
    </w:tbl>
    <w:p w14:paraId="1405C238" w14:textId="77777777" w:rsidR="002D2FBA" w:rsidRPr="00F1519D" w:rsidRDefault="002D2FBA" w:rsidP="002D2FBA">
      <w:pPr>
        <w:pStyle w:val="TitreTableauFigure"/>
      </w:pPr>
    </w:p>
    <w:p w14:paraId="3BF8AB98" w14:textId="77777777" w:rsidR="002D2FBA" w:rsidRDefault="002D2FBA" w:rsidP="002D2FBA">
      <w:pPr>
        <w:pStyle w:val="TitreTableauFigure"/>
      </w:pPr>
      <w:r>
        <w:t xml:space="preserve">AirQ+ : </w:t>
      </w:r>
      <w:r w:rsidRPr="00E567C1">
        <w:t>Fenêtre ‘</w:t>
      </w:r>
      <w:r>
        <w:rPr>
          <w:i/>
        </w:rPr>
        <w:t>Importer des données de qualité de l’air</w:t>
      </w:r>
      <w:r w:rsidRPr="00E567C1">
        <w:t>’ pour la pollution de l'air ambiant - PM2.5 - long terme</w:t>
      </w:r>
      <w:r>
        <w:t xml:space="preserve"> – exemple importation d’une seule zone et plusieurs polluants</w:t>
      </w:r>
    </w:p>
    <w:p w14:paraId="4DDBCA79" w14:textId="77777777" w:rsidR="002D2FBA" w:rsidRDefault="002D2FBA" w:rsidP="002D2FBA">
      <w:pPr>
        <w:rPr>
          <w:noProof/>
          <w:snapToGrid/>
        </w:rPr>
      </w:pPr>
    </w:p>
    <w:p w14:paraId="03F35F26" w14:textId="77777777" w:rsidR="002D2FBA" w:rsidRDefault="002D2FBA" w:rsidP="002D2FBA">
      <w:pPr>
        <w:rPr>
          <w:noProof/>
          <w:snapToGrid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C8614" wp14:editId="37306876">
                <wp:simplePos x="0" y="0"/>
                <wp:positionH relativeFrom="column">
                  <wp:posOffset>4029075</wp:posOffset>
                </wp:positionH>
                <wp:positionV relativeFrom="paragraph">
                  <wp:posOffset>3953510</wp:posOffset>
                </wp:positionV>
                <wp:extent cx="1630018" cy="245386"/>
                <wp:effectExtent l="0" t="0" r="2794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18" cy="245386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C28A1" id="Rectangle 5" o:spid="_x0000_s1026" style="position:absolute;margin-left:317.25pt;margin-top:311.3pt;width:128.35pt;height:19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" filled="f" strokecolor="red" strokeweight="1.75pt"/>
            </w:pict>
          </mc:Fallback>
        </mc:AlternateContent>
      </w:r>
      <w:r>
        <w:rPr>
          <w:noProof/>
          <w:snapToGrid/>
        </w:rPr>
        <w:drawing>
          <wp:inline distT="0" distB="0" distL="0" distR="0" wp14:anchorId="57243D60" wp14:editId="245362CB">
            <wp:extent cx="5760720" cy="4201160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5EA74" w14:textId="77777777" w:rsidR="002D2FBA" w:rsidRDefault="002D2FBA" w:rsidP="002D2FBA">
      <w:pPr>
        <w:rPr>
          <w:b/>
          <w:noProof/>
          <w:snapToGrid/>
          <w:color w:val="FF0000"/>
        </w:rPr>
      </w:pPr>
    </w:p>
    <w:p w14:paraId="54504014" w14:textId="77777777" w:rsidR="002D2FBA" w:rsidRDefault="002D2FBA" w:rsidP="002D2FBA">
      <w:pPr>
        <w:rPr>
          <w:noProof/>
          <w:snapToGrid/>
        </w:rPr>
      </w:pPr>
      <w:r>
        <w:rPr>
          <w:noProof/>
          <w:snapToGrid/>
        </w:rPr>
        <w:t>Une fois la vérification faite, il faudra cliquer sur « </w:t>
      </w:r>
      <w:r w:rsidRPr="00B80C99">
        <w:rPr>
          <w:i/>
          <w:noProof/>
          <w:snapToGrid/>
        </w:rPr>
        <w:t xml:space="preserve">Créer une nouvelle évaluation </w:t>
      </w:r>
      <w:r>
        <w:rPr>
          <w:i/>
          <w:noProof/>
          <w:snapToGrid/>
        </w:rPr>
        <w:t>de table de survie</w:t>
      </w:r>
      <w:r>
        <w:rPr>
          <w:noProof/>
          <w:snapToGrid/>
        </w:rPr>
        <w:t> » (encadré rouge Figure N°7).</w:t>
      </w:r>
    </w:p>
    <w:p w14:paraId="25B7143C" w14:textId="77777777" w:rsidR="002D2FBA" w:rsidRDefault="002D2FBA" w:rsidP="002D2FBA">
      <w:pPr>
        <w:rPr>
          <w:noProof/>
          <w:snapToGrid/>
        </w:rPr>
      </w:pPr>
      <w:r>
        <w:rPr>
          <w:noProof/>
          <w:snapToGrid/>
        </w:rPr>
        <w:t>Pour insérer les données cliquez sur « Importer des données » (encadré rouge – Figure N°8).</w:t>
      </w:r>
    </w:p>
    <w:p w14:paraId="7B901AE2" w14:textId="77777777" w:rsidR="002D2FBA" w:rsidRDefault="002D2FBA" w:rsidP="002D2FBA">
      <w:pPr>
        <w:rPr>
          <w:noProof/>
          <w:snapToGrid/>
        </w:rPr>
      </w:pPr>
    </w:p>
    <w:p w14:paraId="62644F2E" w14:textId="77777777" w:rsidR="002D2FBA" w:rsidRDefault="002D2FBA" w:rsidP="002D2FBA">
      <w:pPr>
        <w:rPr>
          <w:noProof/>
          <w:snapToGrid/>
        </w:rPr>
      </w:pPr>
    </w:p>
    <w:p w14:paraId="3D3E73F3" w14:textId="77777777" w:rsidR="002D2FBA" w:rsidRDefault="002D2FBA">
      <w:pPr>
        <w:spacing w:after="160" w:line="259" w:lineRule="auto"/>
        <w:jc w:val="left"/>
        <w:rPr>
          <w:noProof/>
          <w:snapToGrid/>
        </w:rPr>
      </w:pPr>
      <w:r>
        <w:rPr>
          <w:noProof/>
          <w:snapToGrid/>
        </w:rPr>
        <w:br w:type="page"/>
      </w:r>
    </w:p>
    <w:tbl>
      <w:tblPr>
        <w:tblW w:w="0" w:type="auto"/>
        <w:shd w:val="clear" w:color="auto" w:fill="004192"/>
        <w:tblLook w:val="01E0" w:firstRow="1" w:lastRow="1" w:firstColumn="1" w:lastColumn="1" w:noHBand="0" w:noVBand="0"/>
      </w:tblPr>
      <w:tblGrid>
        <w:gridCol w:w="9072"/>
      </w:tblGrid>
      <w:tr w:rsidR="002D2FBA" w:rsidRPr="00B06D3F" w14:paraId="4439A99E" w14:textId="77777777" w:rsidTr="007F51C2">
        <w:trPr>
          <w:trHeight w:val="715"/>
        </w:trPr>
        <w:tc>
          <w:tcPr>
            <w:tcW w:w="9639" w:type="dxa"/>
            <w:shd w:val="clear" w:color="auto" w:fill="004192"/>
          </w:tcPr>
          <w:p w14:paraId="47B10A15" w14:textId="77777777" w:rsidR="002D2FBA" w:rsidRPr="00FD37C6" w:rsidRDefault="002D2FBA" w:rsidP="007F51C2">
            <w:pPr>
              <w:pStyle w:val="Tableautitre"/>
              <w:spacing w:before="0" w:after="0"/>
            </w:pPr>
          </w:p>
          <w:p w14:paraId="6DDCA1D7" w14:textId="77777777" w:rsidR="002D2FBA" w:rsidRPr="00F1519D" w:rsidRDefault="002D2FBA" w:rsidP="002D2FBA">
            <w:pPr>
              <w:pStyle w:val="NumeroTableauFigure"/>
            </w:pPr>
            <w:r w:rsidRPr="00F1519D">
              <w:t>I F</w:t>
            </w:r>
            <w:r>
              <w:t>I</w:t>
            </w:r>
            <w:r w:rsidRPr="00F1519D">
              <w:t xml:space="preserve">GURE N° </w:t>
            </w:r>
            <w:r>
              <w:t>8</w:t>
            </w:r>
            <w:r w:rsidRPr="00F1519D">
              <w:t xml:space="preserve"> I </w:t>
            </w:r>
            <w:r w:rsidRPr="00F1519D">
              <w:tab/>
            </w:r>
          </w:p>
        </w:tc>
      </w:tr>
    </w:tbl>
    <w:p w14:paraId="732CFD9E" w14:textId="77777777" w:rsidR="002D2FBA" w:rsidRPr="00F1519D" w:rsidRDefault="002D2FBA" w:rsidP="002D2FBA">
      <w:pPr>
        <w:pStyle w:val="TitreTableauFigure"/>
      </w:pPr>
    </w:p>
    <w:p w14:paraId="200A93D5" w14:textId="77777777" w:rsidR="002D2FBA" w:rsidRDefault="002D2FBA" w:rsidP="002D2FBA">
      <w:pPr>
        <w:pStyle w:val="TitreTableauFigure"/>
      </w:pPr>
      <w:r>
        <w:t xml:space="preserve">AirQ+ : </w:t>
      </w:r>
      <w:r w:rsidRPr="00E567C1">
        <w:t xml:space="preserve">Fenêtre </w:t>
      </w:r>
      <w:r>
        <w:t>« Entrer la table de survie »</w:t>
      </w:r>
      <w:r w:rsidRPr="00E567C1">
        <w:t xml:space="preserve"> </w:t>
      </w:r>
    </w:p>
    <w:p w14:paraId="50D6088D" w14:textId="77777777" w:rsidR="002D2FBA" w:rsidRDefault="002D2FBA" w:rsidP="002D2FBA">
      <w:pPr>
        <w:spacing w:after="160" w:line="259" w:lineRule="auto"/>
        <w:jc w:val="left"/>
        <w:rPr>
          <w:noProof/>
          <w:snapToGrid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1D433" wp14:editId="173662D3">
                <wp:simplePos x="0" y="0"/>
                <wp:positionH relativeFrom="column">
                  <wp:posOffset>427355</wp:posOffset>
                </wp:positionH>
                <wp:positionV relativeFrom="paragraph">
                  <wp:posOffset>1294765</wp:posOffset>
                </wp:positionV>
                <wp:extent cx="1371600" cy="2667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667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1FC1C" id="Rectangle 6" o:spid="_x0000_s1026" style="position:absolute;margin-left:33.65pt;margin-top:101.95pt;width:10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" filled="f" strokecolor="red" strokeweight="1.75pt"/>
            </w:pict>
          </mc:Fallback>
        </mc:AlternateContent>
      </w:r>
      <w:r>
        <w:rPr>
          <w:noProof/>
          <w:snapToGrid/>
        </w:rPr>
        <w:drawing>
          <wp:inline distT="0" distB="0" distL="0" distR="0" wp14:anchorId="1C79F845" wp14:editId="0E362AB6">
            <wp:extent cx="5760720" cy="50368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3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2EF93" w14:textId="77777777" w:rsidR="005D300A" w:rsidRDefault="005D300A" w:rsidP="005D300A">
      <w:r>
        <w:t>Cliquer sur l’onglet « Importer les données », la fenêtre suivante s’ouvre (Figure 8).</w:t>
      </w:r>
    </w:p>
    <w:p w14:paraId="777DB8E2" w14:textId="77777777" w:rsidR="005D300A" w:rsidRDefault="005D300A" w:rsidP="005D300A"/>
    <w:p w14:paraId="2D2AB82E" w14:textId="77777777" w:rsidR="005D300A" w:rsidRDefault="005D300A" w:rsidP="005D300A">
      <w:r>
        <w:t>Les étapes :</w:t>
      </w:r>
    </w:p>
    <w:p w14:paraId="5AE87CC6" w14:textId="77777777" w:rsidR="005D300A" w:rsidRDefault="005D300A" w:rsidP="005D300A">
      <w:pPr>
        <w:pStyle w:val="Paragraphedeliste"/>
        <w:numPr>
          <w:ilvl w:val="0"/>
          <w:numId w:val="1"/>
        </w:numPr>
      </w:pPr>
      <w:r>
        <w:t>Importation des données avec l’onglet</w:t>
      </w:r>
      <w:r>
        <w:rPr>
          <w:noProof/>
          <w:snapToGrid/>
        </w:rPr>
        <w:drawing>
          <wp:inline distT="0" distB="0" distL="0" distR="0" wp14:anchorId="4F115212" wp14:editId="66866117">
            <wp:extent cx="295275" cy="276225"/>
            <wp:effectExtent l="0" t="0" r="9525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 ;</w:t>
      </w:r>
    </w:p>
    <w:p w14:paraId="24079D62" w14:textId="77777777" w:rsidR="005D300A" w:rsidRDefault="005D300A" w:rsidP="005D300A">
      <w:pPr>
        <w:pStyle w:val="Paragraphedeliste"/>
        <w:numPr>
          <w:ilvl w:val="0"/>
          <w:numId w:val="1"/>
        </w:numPr>
      </w:pPr>
      <w:r w:rsidRPr="00591C13">
        <w:rPr>
          <w:i/>
        </w:rPr>
        <w:t>« </w:t>
      </w:r>
      <w:r w:rsidRPr="00591C13">
        <w:rPr>
          <w:b/>
          <w:i/>
        </w:rPr>
        <w:t>Sélectionnez le séparateur décimale</w:t>
      </w:r>
      <w:r>
        <w:rPr>
          <w:i/>
        </w:rPr>
        <w:t> </w:t>
      </w:r>
      <w:r w:rsidRPr="00591C13">
        <w:rPr>
          <w:i/>
        </w:rPr>
        <w:t>»</w:t>
      </w:r>
      <w:r>
        <w:t xml:space="preserve"> préciser si les décimales des données insérées sont séparées par une virgule ou un point (dans cet exemple le séparateur est une virgule) ;</w:t>
      </w:r>
    </w:p>
    <w:p w14:paraId="532D9031" w14:textId="77777777" w:rsidR="005D300A" w:rsidRDefault="005D300A" w:rsidP="005D300A">
      <w:pPr>
        <w:pStyle w:val="Paragraphedeliste"/>
        <w:numPr>
          <w:ilvl w:val="0"/>
          <w:numId w:val="1"/>
        </w:numPr>
      </w:pPr>
      <w:r w:rsidRPr="00575774">
        <w:t>Sélectionner les variables du fichier qui correspondent à la</w:t>
      </w:r>
      <w:r w:rsidRPr="00591C13">
        <w:rPr>
          <w:i/>
        </w:rPr>
        <w:t xml:space="preserve"> « </w:t>
      </w:r>
      <w:r w:rsidRPr="005D300A">
        <w:rPr>
          <w:i/>
          <w:shd w:val="clear" w:color="auto" w:fill="FFF2CC" w:themeFill="accent4" w:themeFillTint="33"/>
        </w:rPr>
        <w:t>Age à partir de</w:t>
      </w:r>
      <w:r w:rsidRPr="00591C13">
        <w:rPr>
          <w:i/>
        </w:rPr>
        <w:t> », « </w:t>
      </w:r>
      <w:r>
        <w:rPr>
          <w:i/>
          <w:shd w:val="clear" w:color="auto" w:fill="BE9ED6"/>
        </w:rPr>
        <w:t>Age jusqu’à</w:t>
      </w:r>
      <w:r w:rsidRPr="00591C13">
        <w:rPr>
          <w:i/>
        </w:rPr>
        <w:t> »</w:t>
      </w:r>
      <w:r>
        <w:rPr>
          <w:i/>
        </w:rPr>
        <w:t>, « </w:t>
      </w:r>
      <w:r w:rsidRPr="005D300A">
        <w:rPr>
          <w:i/>
          <w:shd w:val="clear" w:color="auto" w:fill="C5E0B3" w:themeFill="accent6" w:themeFillTint="66"/>
        </w:rPr>
        <w:t>Population à mi-année</w:t>
      </w:r>
      <w:r>
        <w:rPr>
          <w:i/>
        </w:rPr>
        <w:t> » et « </w:t>
      </w:r>
      <w:r w:rsidRPr="005D300A">
        <w:rPr>
          <w:i/>
          <w:shd w:val="clear" w:color="auto" w:fill="9CC2E5" w:themeFill="accent1" w:themeFillTint="99"/>
        </w:rPr>
        <w:t>Nombre de décès</w:t>
      </w:r>
      <w:r>
        <w:rPr>
          <w:i/>
        </w:rPr>
        <w:t> »</w:t>
      </w:r>
    </w:p>
    <w:p w14:paraId="16018E9B" w14:textId="77777777" w:rsidR="002D2FBA" w:rsidRDefault="002D2FBA" w:rsidP="002D2FBA">
      <w:pPr>
        <w:spacing w:after="160" w:line="259" w:lineRule="auto"/>
        <w:jc w:val="left"/>
        <w:rPr>
          <w:noProof/>
          <w:snapToGrid/>
        </w:rPr>
      </w:pPr>
    </w:p>
    <w:p w14:paraId="54C88BE0" w14:textId="77777777" w:rsidR="002D2FBA" w:rsidRDefault="002D2FBA" w:rsidP="002D2FBA">
      <w:pPr>
        <w:spacing w:after="160" w:line="259" w:lineRule="auto"/>
        <w:jc w:val="left"/>
        <w:rPr>
          <w:noProof/>
          <w:snapToGrid/>
        </w:rPr>
      </w:pPr>
      <w:r>
        <w:rPr>
          <w:noProof/>
          <w:snapToGrid/>
        </w:rPr>
        <w:br w:type="page"/>
      </w:r>
    </w:p>
    <w:p w14:paraId="2CAAF9BA" w14:textId="77777777" w:rsidR="002D2FBA" w:rsidRDefault="002D2FBA" w:rsidP="002D2FBA">
      <w:pPr>
        <w:rPr>
          <w:noProof/>
          <w:snapToGrid/>
        </w:rPr>
      </w:pPr>
    </w:p>
    <w:tbl>
      <w:tblPr>
        <w:tblW w:w="0" w:type="auto"/>
        <w:shd w:val="clear" w:color="auto" w:fill="004192"/>
        <w:tblLook w:val="01E0" w:firstRow="1" w:lastRow="1" w:firstColumn="1" w:lastColumn="1" w:noHBand="0" w:noVBand="0"/>
      </w:tblPr>
      <w:tblGrid>
        <w:gridCol w:w="9072"/>
      </w:tblGrid>
      <w:tr w:rsidR="002D2FBA" w:rsidRPr="00B06D3F" w14:paraId="0688A0A7" w14:textId="77777777" w:rsidTr="007F51C2">
        <w:trPr>
          <w:trHeight w:val="715"/>
        </w:trPr>
        <w:tc>
          <w:tcPr>
            <w:tcW w:w="9639" w:type="dxa"/>
            <w:shd w:val="clear" w:color="auto" w:fill="004192"/>
          </w:tcPr>
          <w:p w14:paraId="363B16E2" w14:textId="77777777" w:rsidR="002D2FBA" w:rsidRPr="00FD37C6" w:rsidRDefault="002D2FBA" w:rsidP="007F51C2">
            <w:pPr>
              <w:pStyle w:val="Tableautitre"/>
              <w:spacing w:before="0" w:after="0"/>
            </w:pPr>
          </w:p>
          <w:p w14:paraId="13E9AC6D" w14:textId="77777777" w:rsidR="002D2FBA" w:rsidRPr="00F1519D" w:rsidRDefault="002D2FBA" w:rsidP="002D2FBA">
            <w:pPr>
              <w:pStyle w:val="NumeroTableauFigure"/>
            </w:pPr>
            <w:r w:rsidRPr="00F1519D">
              <w:t>I F</w:t>
            </w:r>
            <w:r>
              <w:t>I</w:t>
            </w:r>
            <w:r w:rsidRPr="00F1519D">
              <w:t xml:space="preserve">GURE N° </w:t>
            </w:r>
            <w:r>
              <w:t>9</w:t>
            </w:r>
            <w:r w:rsidRPr="00F1519D">
              <w:t xml:space="preserve"> I </w:t>
            </w:r>
            <w:r w:rsidRPr="00F1519D">
              <w:tab/>
            </w:r>
          </w:p>
        </w:tc>
      </w:tr>
    </w:tbl>
    <w:p w14:paraId="4287CBFC" w14:textId="77777777" w:rsidR="002D2FBA" w:rsidRDefault="002D2FBA" w:rsidP="002D2FBA">
      <w:pPr>
        <w:pStyle w:val="TitreTableauFigure"/>
      </w:pPr>
      <w:r>
        <w:t xml:space="preserve">AirQ+ : </w:t>
      </w:r>
      <w:r w:rsidRPr="00E567C1">
        <w:t xml:space="preserve">Fenêtre </w:t>
      </w:r>
      <w:r>
        <w:t>« Entrer la table de survie »</w:t>
      </w:r>
      <w:r w:rsidRPr="00E567C1">
        <w:t xml:space="preserve"> </w:t>
      </w:r>
    </w:p>
    <w:p w14:paraId="6EA9478E" w14:textId="77777777" w:rsidR="002D2FBA" w:rsidRDefault="002D2FBA" w:rsidP="002D2FBA">
      <w:pPr>
        <w:pStyle w:val="TitreTableauFigure"/>
      </w:pPr>
    </w:p>
    <w:p w14:paraId="6F2AF796" w14:textId="77777777" w:rsidR="00265A3D" w:rsidRDefault="005D300A">
      <w:r>
        <w:rPr>
          <w:noProof/>
          <w:snapToGrid/>
        </w:rPr>
        <w:drawing>
          <wp:inline distT="0" distB="0" distL="0" distR="0" wp14:anchorId="4C47A66B" wp14:editId="73C82265">
            <wp:extent cx="5760720" cy="5349875"/>
            <wp:effectExtent l="0" t="0" r="0" b="317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3000" w14:textId="77777777" w:rsidR="005D300A" w:rsidRDefault="005D300A"/>
    <w:p w14:paraId="0463493E" w14:textId="77777777" w:rsidR="005D300A" w:rsidRDefault="005D300A" w:rsidP="005D300A">
      <w:pPr>
        <w:rPr>
          <w:noProof/>
          <w:snapToGrid/>
        </w:rPr>
      </w:pPr>
      <w:r>
        <w:rPr>
          <w:noProof/>
          <w:snapToGrid/>
        </w:rPr>
        <w:t xml:space="preserve">Une fois l’ensemble des informations renseignées, cliquez sur </w:t>
      </w:r>
      <w:r w:rsidRPr="00B80C99">
        <w:rPr>
          <w:b/>
          <w:noProof/>
          <w:snapToGrid/>
        </w:rPr>
        <w:t>OK</w:t>
      </w:r>
      <w:r>
        <w:rPr>
          <w:noProof/>
          <w:snapToGrid/>
        </w:rPr>
        <w:t xml:space="preserve">. </w:t>
      </w:r>
    </w:p>
    <w:p w14:paraId="6FFD8FCF" w14:textId="77777777" w:rsidR="005D300A" w:rsidRDefault="005D300A" w:rsidP="005D300A">
      <w:pPr>
        <w:rPr>
          <w:noProof/>
          <w:snapToGrid/>
        </w:rPr>
      </w:pPr>
      <w:r>
        <w:rPr>
          <w:noProof/>
          <w:snapToGrid/>
        </w:rPr>
        <w:t>On revient à la fenêtre « </w:t>
      </w:r>
      <w:r w:rsidRPr="005D300A">
        <w:rPr>
          <w:i/>
          <w:noProof/>
          <w:snapToGrid/>
        </w:rPr>
        <w:t>Entrer la table de survie</w:t>
      </w:r>
      <w:r>
        <w:rPr>
          <w:noProof/>
          <w:snapToGrid/>
        </w:rPr>
        <w:t xml:space="preserve">» (Figure 8). </w:t>
      </w:r>
    </w:p>
    <w:p w14:paraId="6D82F28E" w14:textId="77777777" w:rsidR="005D300A" w:rsidRDefault="005D300A" w:rsidP="005D300A">
      <w:pPr>
        <w:rPr>
          <w:b/>
          <w:noProof/>
          <w:snapToGrid/>
          <w:color w:val="FF0000"/>
        </w:rPr>
      </w:pPr>
      <w:r w:rsidRPr="00B80C99">
        <w:rPr>
          <w:b/>
          <w:noProof/>
          <w:snapToGrid/>
          <w:color w:val="FF0000"/>
        </w:rPr>
        <w:t>ATTENTION de bien vérifier que les données se sont bien importées.</w:t>
      </w:r>
    </w:p>
    <w:p w14:paraId="53A02340" w14:textId="77777777" w:rsidR="002C3687" w:rsidRDefault="005D300A">
      <w:pPr>
        <w:spacing w:after="160" w:line="259" w:lineRule="auto"/>
        <w:jc w:val="left"/>
      </w:pPr>
      <w:r>
        <w:br w:type="page"/>
      </w:r>
    </w:p>
    <w:tbl>
      <w:tblPr>
        <w:tblW w:w="0" w:type="auto"/>
        <w:shd w:val="clear" w:color="auto" w:fill="004192"/>
        <w:tblLook w:val="01E0" w:firstRow="1" w:lastRow="1" w:firstColumn="1" w:lastColumn="1" w:noHBand="0" w:noVBand="0"/>
      </w:tblPr>
      <w:tblGrid>
        <w:gridCol w:w="9072"/>
      </w:tblGrid>
      <w:tr w:rsidR="002C3687" w:rsidRPr="00B06D3F" w14:paraId="0F23A71A" w14:textId="77777777" w:rsidTr="00B1229E">
        <w:trPr>
          <w:trHeight w:val="715"/>
        </w:trPr>
        <w:tc>
          <w:tcPr>
            <w:tcW w:w="9639" w:type="dxa"/>
            <w:shd w:val="clear" w:color="auto" w:fill="004192"/>
          </w:tcPr>
          <w:p w14:paraId="41753D38" w14:textId="77777777" w:rsidR="002C3687" w:rsidRPr="00FD37C6" w:rsidRDefault="002C3687" w:rsidP="00B1229E">
            <w:pPr>
              <w:pStyle w:val="Tableautitre"/>
              <w:spacing w:before="0" w:after="0"/>
            </w:pPr>
          </w:p>
          <w:p w14:paraId="49BA678F" w14:textId="77777777" w:rsidR="002C3687" w:rsidRPr="00F1519D" w:rsidRDefault="002C3687" w:rsidP="002C3687">
            <w:pPr>
              <w:pStyle w:val="NumeroTableauFigure"/>
            </w:pPr>
            <w:r w:rsidRPr="00F1519D">
              <w:t>I F</w:t>
            </w:r>
            <w:r>
              <w:t>I</w:t>
            </w:r>
            <w:r w:rsidRPr="00F1519D">
              <w:t xml:space="preserve">GURE N° </w:t>
            </w:r>
            <w:r>
              <w:t>10</w:t>
            </w:r>
            <w:r w:rsidRPr="00F1519D">
              <w:t xml:space="preserve"> I </w:t>
            </w:r>
            <w:r w:rsidRPr="00F1519D">
              <w:tab/>
            </w:r>
          </w:p>
        </w:tc>
      </w:tr>
    </w:tbl>
    <w:p w14:paraId="65CE553A" w14:textId="77777777" w:rsidR="002C3687" w:rsidRPr="00F1519D" w:rsidRDefault="002C3687" w:rsidP="002C3687">
      <w:pPr>
        <w:pStyle w:val="TitreTableauFigure"/>
      </w:pPr>
    </w:p>
    <w:p w14:paraId="37A88888" w14:textId="77777777" w:rsidR="002C3687" w:rsidRDefault="002C3687" w:rsidP="002C3687">
      <w:pPr>
        <w:pStyle w:val="TitreTableauFigure"/>
      </w:pPr>
      <w:r>
        <w:t xml:space="preserve">AirQ+ : </w:t>
      </w:r>
      <w:r w:rsidRPr="00E567C1">
        <w:t xml:space="preserve">Fenêtre </w:t>
      </w:r>
      <w:r>
        <w:t>« Entrer la table de survie »</w:t>
      </w:r>
      <w:r w:rsidRPr="00E567C1">
        <w:t xml:space="preserve"> </w:t>
      </w:r>
    </w:p>
    <w:p w14:paraId="578AA9EA" w14:textId="77777777" w:rsidR="002C3687" w:rsidRDefault="002C3687" w:rsidP="002C3687">
      <w:pPr>
        <w:pStyle w:val="TitreTableauFigure"/>
      </w:pPr>
    </w:p>
    <w:p w14:paraId="7DA54E0C" w14:textId="77777777" w:rsidR="005D300A" w:rsidRDefault="002C3687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DC807D" wp14:editId="293A28BB">
                <wp:simplePos x="0" y="0"/>
                <wp:positionH relativeFrom="column">
                  <wp:posOffset>4112880</wp:posOffset>
                </wp:positionH>
                <wp:positionV relativeFrom="paragraph">
                  <wp:posOffset>2130287</wp:posOffset>
                </wp:positionV>
                <wp:extent cx="1068636" cy="2667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636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2915F" id="Rectangle 13" o:spid="_x0000_s1026" style="position:absolute;margin-left:323.85pt;margin-top:167.75pt;width:84.1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" filled="f" strokecolor="red" strokeweight="1.5pt"/>
            </w:pict>
          </mc:Fallback>
        </mc:AlternateContent>
      </w:r>
      <w:r w:rsidR="005D300A">
        <w:rPr>
          <w:noProof/>
          <w:snapToGrid/>
        </w:rPr>
        <w:drawing>
          <wp:inline distT="0" distB="0" distL="0" distR="0" wp14:anchorId="3739684C" wp14:editId="306307B3">
            <wp:extent cx="5760720" cy="305435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00C9C" w14:textId="77777777" w:rsidR="002C3687" w:rsidRDefault="002C3687"/>
    <w:p w14:paraId="01E08608" w14:textId="77777777" w:rsidR="002C3687" w:rsidRDefault="002C3687" w:rsidP="002C3687">
      <w:pPr>
        <w:rPr>
          <w:noProof/>
          <w:snapToGrid/>
        </w:rPr>
      </w:pPr>
      <w:r>
        <w:rPr>
          <w:noProof/>
          <w:snapToGrid/>
        </w:rPr>
        <w:t>Une fois la vérification faite, il faudra cliquer sur « </w:t>
      </w:r>
      <w:r>
        <w:rPr>
          <w:i/>
          <w:noProof/>
          <w:snapToGrid/>
        </w:rPr>
        <w:t>Configurer l’évaluation</w:t>
      </w:r>
      <w:r>
        <w:rPr>
          <w:noProof/>
          <w:snapToGrid/>
        </w:rPr>
        <w:t> » (encadré rouge Figure N°10).</w:t>
      </w:r>
    </w:p>
    <w:p w14:paraId="1D828DB7" w14:textId="77777777" w:rsidR="002C3687" w:rsidRDefault="002C3687" w:rsidP="002C3687">
      <w:pPr>
        <w:rPr>
          <w:noProof/>
          <w:snapToGrid/>
        </w:rPr>
      </w:pPr>
    </w:p>
    <w:p w14:paraId="348370C9" w14:textId="77777777" w:rsidR="002C3687" w:rsidRPr="00966235" w:rsidRDefault="002C3687" w:rsidP="002C3687">
      <w:r>
        <w:t>L</w:t>
      </w:r>
      <w:r w:rsidRPr="00966235">
        <w:t xml:space="preserve">es valeurs suivantes </w:t>
      </w:r>
      <w:r>
        <w:t xml:space="preserve">doivent être renseignées </w:t>
      </w:r>
      <w:r w:rsidRPr="00966235">
        <w:t>:</w:t>
      </w:r>
    </w:p>
    <w:p w14:paraId="318AAE8E" w14:textId="77777777" w:rsidR="002C3687" w:rsidRPr="00966235" w:rsidRDefault="002C3687" w:rsidP="002C3687">
      <w:pPr>
        <w:numPr>
          <w:ilvl w:val="0"/>
          <w:numId w:val="3"/>
        </w:numPr>
        <w:spacing w:after="200" w:line="276" w:lineRule="auto"/>
      </w:pPr>
      <w:r w:rsidRPr="00966235">
        <w:t>valeur seuil, x</w:t>
      </w:r>
      <w:r w:rsidRPr="002C3687">
        <w:rPr>
          <w:vertAlign w:val="subscript"/>
        </w:rPr>
        <w:t>0</w:t>
      </w:r>
      <w:r w:rsidRPr="00966235">
        <w:t xml:space="preserve"> de 10 μg/m</w:t>
      </w:r>
      <w:r w:rsidRPr="00966235">
        <w:rPr>
          <w:vertAlign w:val="superscript"/>
        </w:rPr>
        <w:t xml:space="preserve">3 </w:t>
      </w:r>
      <w:r w:rsidRPr="00966235">
        <w:t>;</w:t>
      </w:r>
    </w:p>
    <w:p w14:paraId="305747C4" w14:textId="77777777" w:rsidR="002C3687" w:rsidRDefault="002C3687" w:rsidP="00052CEC">
      <w:pPr>
        <w:numPr>
          <w:ilvl w:val="0"/>
          <w:numId w:val="3"/>
        </w:numPr>
        <w:spacing w:after="200" w:line="276" w:lineRule="auto"/>
      </w:pPr>
      <w:r w:rsidRPr="002C3687">
        <w:t>risque relatif</w:t>
      </w:r>
      <w:r w:rsidRPr="00966235">
        <w:t xml:space="preserve"> égal à 1,</w:t>
      </w:r>
      <w:r>
        <w:t>15</w:t>
      </w:r>
      <w:r w:rsidRPr="00966235">
        <w:t xml:space="preserve"> (IC</w:t>
      </w:r>
      <w:r>
        <w:t>95 %</w:t>
      </w:r>
      <w:r w:rsidRPr="00966235">
        <w:t xml:space="preserve"> [1,0</w:t>
      </w:r>
      <w:r>
        <w:t>5</w:t>
      </w:r>
      <w:r w:rsidRPr="00966235">
        <w:t> ; 1,</w:t>
      </w:r>
      <w:r>
        <w:t>25</w:t>
      </w:r>
      <w:r w:rsidRPr="00966235">
        <w:t>]) ;</w:t>
      </w:r>
      <w:r>
        <w:t xml:space="preserve"> </w:t>
      </w:r>
    </w:p>
    <w:p w14:paraId="1F68FD4D" w14:textId="77777777" w:rsidR="002C3687" w:rsidRPr="00966235" w:rsidRDefault="002C3687" w:rsidP="00052CEC">
      <w:pPr>
        <w:numPr>
          <w:ilvl w:val="0"/>
          <w:numId w:val="3"/>
        </w:numPr>
        <w:spacing w:after="200" w:line="276" w:lineRule="auto"/>
      </w:pPr>
      <w:r w:rsidRPr="00966235">
        <w:t>année de début 200</w:t>
      </w:r>
      <w:r>
        <w:t>4</w:t>
      </w:r>
      <w:r w:rsidRPr="00966235">
        <w:t xml:space="preserve"> ;</w:t>
      </w:r>
    </w:p>
    <w:p w14:paraId="19CA374F" w14:textId="77777777" w:rsidR="002C3687" w:rsidRPr="00966235" w:rsidRDefault="002C3687" w:rsidP="002C3687">
      <w:pPr>
        <w:numPr>
          <w:ilvl w:val="0"/>
          <w:numId w:val="3"/>
        </w:numPr>
        <w:spacing w:after="200" w:line="276" w:lineRule="auto"/>
      </w:pPr>
      <w:r w:rsidRPr="00966235">
        <w:t>risque relatif appliqué aux 30 à 120 ans.</w:t>
      </w:r>
    </w:p>
    <w:p w14:paraId="7DB89E59" w14:textId="77777777" w:rsidR="00492275" w:rsidRDefault="002C3687" w:rsidP="002C3687">
      <w:pPr>
        <w:rPr>
          <w:noProof/>
          <w:snapToGrid/>
        </w:rPr>
      </w:pPr>
      <w:r>
        <w:rPr>
          <w:noProof/>
          <w:snapToGrid/>
        </w:rPr>
        <w:t>Puis cliquer sur « </w:t>
      </w:r>
      <w:r w:rsidRPr="00492275">
        <w:rPr>
          <w:i/>
          <w:noProof/>
          <w:snapToGrid/>
        </w:rPr>
        <w:t>Calculer</w:t>
      </w:r>
      <w:r>
        <w:rPr>
          <w:noProof/>
          <w:snapToGrid/>
        </w:rPr>
        <w:t> »</w:t>
      </w:r>
    </w:p>
    <w:p w14:paraId="2E9FB591" w14:textId="77777777" w:rsidR="00492275" w:rsidRDefault="00492275" w:rsidP="00492275">
      <w:pPr>
        <w:rPr>
          <w:noProof/>
          <w:snapToGrid/>
        </w:rPr>
      </w:pPr>
      <w:r>
        <w:rPr>
          <w:noProof/>
          <w:snapToGrid/>
        </w:rPr>
        <w:br w:type="page"/>
      </w:r>
    </w:p>
    <w:tbl>
      <w:tblPr>
        <w:tblW w:w="0" w:type="auto"/>
        <w:shd w:val="clear" w:color="auto" w:fill="004192"/>
        <w:tblLook w:val="01E0" w:firstRow="1" w:lastRow="1" w:firstColumn="1" w:lastColumn="1" w:noHBand="0" w:noVBand="0"/>
      </w:tblPr>
      <w:tblGrid>
        <w:gridCol w:w="9072"/>
      </w:tblGrid>
      <w:tr w:rsidR="002C3687" w:rsidRPr="00B06D3F" w14:paraId="0555A334" w14:textId="77777777" w:rsidTr="00492275">
        <w:trPr>
          <w:trHeight w:val="715"/>
        </w:trPr>
        <w:tc>
          <w:tcPr>
            <w:tcW w:w="9072" w:type="dxa"/>
            <w:shd w:val="clear" w:color="auto" w:fill="004192"/>
          </w:tcPr>
          <w:p w14:paraId="4005519E" w14:textId="77777777" w:rsidR="002C3687" w:rsidRPr="00FD37C6" w:rsidRDefault="002C3687" w:rsidP="00B1229E">
            <w:pPr>
              <w:pStyle w:val="Tableautitre"/>
              <w:spacing w:before="0" w:after="0"/>
            </w:pPr>
          </w:p>
          <w:p w14:paraId="2719015A" w14:textId="77777777" w:rsidR="002C3687" w:rsidRPr="00F1519D" w:rsidRDefault="002C3687" w:rsidP="002C3687">
            <w:pPr>
              <w:pStyle w:val="NumeroTableauFigure"/>
            </w:pPr>
            <w:r w:rsidRPr="00F1519D">
              <w:t>I F</w:t>
            </w:r>
            <w:r>
              <w:t>I</w:t>
            </w:r>
            <w:r w:rsidRPr="00F1519D">
              <w:t xml:space="preserve">GURE N° </w:t>
            </w:r>
            <w:r>
              <w:t>11</w:t>
            </w:r>
            <w:r w:rsidRPr="00F1519D">
              <w:t xml:space="preserve"> I </w:t>
            </w:r>
            <w:r w:rsidRPr="00F1519D">
              <w:tab/>
            </w:r>
          </w:p>
        </w:tc>
      </w:tr>
    </w:tbl>
    <w:p w14:paraId="4162BCA2" w14:textId="77777777" w:rsidR="002C3687" w:rsidRPr="00F1519D" w:rsidRDefault="002C3687" w:rsidP="002C3687">
      <w:pPr>
        <w:pStyle w:val="TitreTableauFigure"/>
      </w:pPr>
    </w:p>
    <w:p w14:paraId="03EB7C48" w14:textId="77777777" w:rsidR="002C3687" w:rsidRDefault="002C3687" w:rsidP="002C3687">
      <w:pPr>
        <w:pStyle w:val="TitreTableauFigure"/>
      </w:pPr>
      <w:r>
        <w:t xml:space="preserve">AirQ+ : </w:t>
      </w:r>
      <w:r w:rsidRPr="00E567C1">
        <w:t xml:space="preserve">Fenêtre </w:t>
      </w:r>
      <w:r>
        <w:t>« Paramètres d’évaluation »</w:t>
      </w:r>
      <w:r w:rsidRPr="00E567C1">
        <w:t xml:space="preserve"> </w:t>
      </w:r>
    </w:p>
    <w:p w14:paraId="7C0B7912" w14:textId="77777777" w:rsidR="002C3687" w:rsidRDefault="002C3687" w:rsidP="002C3687">
      <w:pPr>
        <w:rPr>
          <w:noProof/>
          <w:snapToGrid/>
        </w:rPr>
      </w:pPr>
    </w:p>
    <w:p w14:paraId="5F309A1A" w14:textId="25086B38" w:rsidR="002C3687" w:rsidRDefault="00492275" w:rsidP="002C3687">
      <w:pPr>
        <w:rPr>
          <w:noProof/>
          <w:snapToGrid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2B1A91" wp14:editId="22556B24">
                <wp:simplePos x="0" y="0"/>
                <wp:positionH relativeFrom="column">
                  <wp:posOffset>3748083</wp:posOffset>
                </wp:positionH>
                <wp:positionV relativeFrom="paragraph">
                  <wp:posOffset>2142386</wp:posOffset>
                </wp:positionV>
                <wp:extent cx="1926523" cy="266700"/>
                <wp:effectExtent l="0" t="0" r="1714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23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84D7A" id="Rectangle 15" o:spid="_x0000_s1026" style="position:absolute;margin-left:295.1pt;margin-top:168.7pt;width:151.7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" filled="f" strokecolor="red" strokeweight="1.5pt"/>
            </w:pict>
          </mc:Fallback>
        </mc:AlternateContent>
      </w:r>
      <w:r w:rsidR="00D67FBD">
        <w:rPr>
          <w:noProof/>
          <w:snapToGrid/>
        </w:rPr>
        <w:drawing>
          <wp:inline distT="0" distB="0" distL="0" distR="0" wp14:anchorId="2D11645E" wp14:editId="6AAEE9AD">
            <wp:extent cx="5760720" cy="243014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4CD4E" w14:textId="77777777" w:rsidR="002C3687" w:rsidRDefault="002C3687"/>
    <w:tbl>
      <w:tblPr>
        <w:tblW w:w="0" w:type="auto"/>
        <w:shd w:val="clear" w:color="auto" w:fill="004192"/>
        <w:tblLook w:val="01E0" w:firstRow="1" w:lastRow="1" w:firstColumn="1" w:lastColumn="1" w:noHBand="0" w:noVBand="0"/>
      </w:tblPr>
      <w:tblGrid>
        <w:gridCol w:w="9072"/>
      </w:tblGrid>
      <w:tr w:rsidR="00492275" w:rsidRPr="00B06D3F" w14:paraId="5E3DE5EF" w14:textId="77777777" w:rsidTr="00B1229E">
        <w:trPr>
          <w:trHeight w:val="715"/>
        </w:trPr>
        <w:tc>
          <w:tcPr>
            <w:tcW w:w="9072" w:type="dxa"/>
            <w:shd w:val="clear" w:color="auto" w:fill="004192"/>
          </w:tcPr>
          <w:p w14:paraId="75951ED2" w14:textId="77777777" w:rsidR="00492275" w:rsidRPr="00FD37C6" w:rsidRDefault="00492275" w:rsidP="00B1229E">
            <w:pPr>
              <w:pStyle w:val="Tableautitre"/>
              <w:spacing w:before="0" w:after="0"/>
            </w:pPr>
          </w:p>
          <w:p w14:paraId="74CC574C" w14:textId="77777777" w:rsidR="00492275" w:rsidRPr="00F1519D" w:rsidRDefault="00492275" w:rsidP="00492275">
            <w:pPr>
              <w:pStyle w:val="NumeroTableauFigure"/>
            </w:pPr>
            <w:r w:rsidRPr="00F1519D">
              <w:t>I F</w:t>
            </w:r>
            <w:r>
              <w:t>I</w:t>
            </w:r>
            <w:r w:rsidRPr="00F1519D">
              <w:t xml:space="preserve">GURE N° </w:t>
            </w:r>
            <w:r>
              <w:t>12</w:t>
            </w:r>
            <w:r w:rsidRPr="00F1519D">
              <w:t xml:space="preserve"> I </w:t>
            </w:r>
            <w:r w:rsidRPr="00F1519D">
              <w:tab/>
            </w:r>
          </w:p>
        </w:tc>
      </w:tr>
    </w:tbl>
    <w:p w14:paraId="07AAEE40" w14:textId="77777777" w:rsidR="00492275" w:rsidRPr="00F1519D" w:rsidRDefault="00492275" w:rsidP="00492275">
      <w:pPr>
        <w:pStyle w:val="TitreTableauFigure"/>
      </w:pPr>
    </w:p>
    <w:p w14:paraId="4382BA5B" w14:textId="652B3B1F" w:rsidR="00492275" w:rsidRDefault="00492275" w:rsidP="00492275">
      <w:pPr>
        <w:pStyle w:val="TitreTableauFigure"/>
      </w:pPr>
      <w:r>
        <w:t xml:space="preserve">AirQ+ : </w:t>
      </w:r>
      <w:r w:rsidRPr="00E567C1">
        <w:t xml:space="preserve">Fenêtre </w:t>
      </w:r>
      <w:r>
        <w:t>« Paramètres d’évaluation »</w:t>
      </w:r>
      <w:r w:rsidRPr="00E567C1">
        <w:t xml:space="preserve"> </w:t>
      </w:r>
      <w:r>
        <w:t xml:space="preserve">- </w:t>
      </w:r>
      <w:r w:rsidR="00250057">
        <w:t>onglet «  Années de vie perdues »</w:t>
      </w:r>
    </w:p>
    <w:p w14:paraId="46880E78" w14:textId="2E4461E2" w:rsidR="00D67FBD" w:rsidRDefault="00D67FBD" w:rsidP="00492275">
      <w:pPr>
        <w:pStyle w:val="TitreTableauFigure"/>
      </w:pPr>
    </w:p>
    <w:p w14:paraId="09341C3D" w14:textId="106BF8D7" w:rsidR="00492275" w:rsidRDefault="00D67FBD" w:rsidP="00492275">
      <w:pPr>
        <w:pStyle w:val="TitreTableauFigure"/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8C8114" wp14:editId="0FD4E820">
                <wp:simplePos x="0" y="0"/>
                <wp:positionH relativeFrom="margin">
                  <wp:posOffset>4792576</wp:posOffset>
                </wp:positionH>
                <wp:positionV relativeFrom="paragraph">
                  <wp:posOffset>864941</wp:posOffset>
                </wp:positionV>
                <wp:extent cx="1506229" cy="216356"/>
                <wp:effectExtent l="0" t="2540" r="15240" b="1524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06229" cy="21635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3BD6F" id="Rectangle 26" o:spid="_x0000_s1026" style="position:absolute;margin-left:377.35pt;margin-top:68.1pt;width:118.6pt;height:17.0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" filled="f" strokecolor="red" strokeweight="1.5pt">
                <w10:wrap anchorx="margin"/>
              </v:rect>
            </w:pict>
          </mc:Fallback>
        </mc:AlternateContent>
      </w:r>
      <w:r>
        <w:drawing>
          <wp:inline distT="0" distB="0" distL="0" distR="0" wp14:anchorId="04DDB58C" wp14:editId="50F86AEF">
            <wp:extent cx="5760720" cy="265303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C0835" w14:textId="3428AEE5" w:rsidR="00492275" w:rsidRDefault="00492275"/>
    <w:p w14:paraId="4743ADFF" w14:textId="77777777" w:rsidR="00492275" w:rsidRDefault="00492275"/>
    <w:p w14:paraId="0A76FA30" w14:textId="77777777" w:rsidR="00492275" w:rsidRDefault="00250057">
      <w:r>
        <w:t>Pour connaitre la durée de vie restante attendu</w:t>
      </w:r>
      <w:r w:rsidR="0078153A">
        <w:t>e</w:t>
      </w:r>
      <w:r>
        <w:t>, cliquer sur l’onglet « </w:t>
      </w:r>
      <w:r w:rsidRPr="00250057">
        <w:rPr>
          <w:i/>
        </w:rPr>
        <w:t>Durée de vie restante attendu… </w:t>
      </w:r>
      <w:r>
        <w:t xml:space="preserve">» (encadré rouge – figure 12) et descendre le curseur jusqu’à l’âge égal 30 (voir figure 13). </w:t>
      </w:r>
    </w:p>
    <w:p w14:paraId="1168C228" w14:textId="52751AFF" w:rsidR="00250057" w:rsidRPr="00966235" w:rsidRDefault="00250057" w:rsidP="00250057">
      <w:r w:rsidRPr="00966235">
        <w:t xml:space="preserve">Nous constatons </w:t>
      </w:r>
      <w:r w:rsidR="00A36EFE">
        <w:t xml:space="preserve">que l’espérance de vie à la naissance, pour une </w:t>
      </w:r>
      <w:r w:rsidRPr="00966235">
        <w:t xml:space="preserve">exposition </w:t>
      </w:r>
      <w:r w:rsidR="00A36EFE">
        <w:t>aux particules fines</w:t>
      </w:r>
      <w:r w:rsidR="00A36EFE" w:rsidRPr="00966235">
        <w:t xml:space="preserve"> </w:t>
      </w:r>
      <w:r w:rsidR="00A36EFE">
        <w:t>de 16</w:t>
      </w:r>
      <w:r w:rsidR="00A36EFE" w:rsidRPr="00966235">
        <w:t>,</w:t>
      </w:r>
      <w:r w:rsidR="00A36EFE">
        <w:t>43</w:t>
      </w:r>
      <w:r w:rsidR="00A36EFE" w:rsidRPr="00966235">
        <w:t xml:space="preserve"> μg/</w:t>
      </w:r>
      <w:r w:rsidR="00A36EFE" w:rsidRPr="00A36EFE">
        <w:t>m</w:t>
      </w:r>
      <w:r w:rsidR="00A36EFE" w:rsidRPr="00A36EFE">
        <w:rPr>
          <w:vertAlign w:val="superscript"/>
        </w:rPr>
        <w:t>3</w:t>
      </w:r>
      <w:r w:rsidR="00A36EFE">
        <w:t xml:space="preserve"> est réduite d’environ 1 an (11,5 mois)</w:t>
      </w:r>
      <w:r w:rsidRPr="00966235">
        <w:t xml:space="preserve">. </w:t>
      </w:r>
    </w:p>
    <w:p w14:paraId="7AED2D47" w14:textId="37741F8B" w:rsidR="00250057" w:rsidRDefault="00250057">
      <w:pPr>
        <w:spacing w:after="160" w:line="259" w:lineRule="auto"/>
        <w:jc w:val="left"/>
      </w:pPr>
    </w:p>
    <w:tbl>
      <w:tblPr>
        <w:tblW w:w="0" w:type="auto"/>
        <w:shd w:val="clear" w:color="auto" w:fill="004192"/>
        <w:tblLook w:val="01E0" w:firstRow="1" w:lastRow="1" w:firstColumn="1" w:lastColumn="1" w:noHBand="0" w:noVBand="0"/>
      </w:tblPr>
      <w:tblGrid>
        <w:gridCol w:w="9072"/>
      </w:tblGrid>
      <w:tr w:rsidR="00250057" w:rsidRPr="00B06D3F" w14:paraId="1CEADB09" w14:textId="77777777" w:rsidTr="00B1229E">
        <w:trPr>
          <w:trHeight w:val="715"/>
        </w:trPr>
        <w:tc>
          <w:tcPr>
            <w:tcW w:w="9072" w:type="dxa"/>
            <w:shd w:val="clear" w:color="auto" w:fill="004192"/>
          </w:tcPr>
          <w:p w14:paraId="77EEF832" w14:textId="77777777" w:rsidR="00250057" w:rsidRPr="00FD37C6" w:rsidRDefault="00250057" w:rsidP="00B1229E">
            <w:pPr>
              <w:pStyle w:val="Tableautitre"/>
              <w:spacing w:before="0" w:after="0"/>
            </w:pPr>
          </w:p>
          <w:p w14:paraId="25B49CAA" w14:textId="28B9794C" w:rsidR="00250057" w:rsidRPr="00F1519D" w:rsidRDefault="00250057" w:rsidP="00A36EFE">
            <w:pPr>
              <w:pStyle w:val="NumeroTableauFigure"/>
            </w:pPr>
            <w:r w:rsidRPr="00F1519D">
              <w:t>I F</w:t>
            </w:r>
            <w:r>
              <w:t>I</w:t>
            </w:r>
            <w:r w:rsidRPr="00F1519D">
              <w:t xml:space="preserve">GURE N° </w:t>
            </w:r>
            <w:r w:rsidR="00A36EFE">
              <w:t>13</w:t>
            </w:r>
            <w:r w:rsidR="00A36EFE" w:rsidRPr="00F1519D">
              <w:t xml:space="preserve"> </w:t>
            </w:r>
            <w:r w:rsidRPr="00F1519D">
              <w:t xml:space="preserve">I </w:t>
            </w:r>
            <w:r w:rsidRPr="00F1519D">
              <w:tab/>
            </w:r>
          </w:p>
        </w:tc>
      </w:tr>
    </w:tbl>
    <w:p w14:paraId="78E1A15D" w14:textId="77777777" w:rsidR="00250057" w:rsidRPr="00F1519D" w:rsidRDefault="00250057" w:rsidP="00250057">
      <w:pPr>
        <w:pStyle w:val="TitreTableauFigure"/>
      </w:pPr>
    </w:p>
    <w:p w14:paraId="02F8565D" w14:textId="77777777" w:rsidR="00250057" w:rsidRDefault="00250057" w:rsidP="00250057">
      <w:pPr>
        <w:pStyle w:val="TitreTableauFigure"/>
      </w:pPr>
      <w:r>
        <w:t xml:space="preserve">AirQ+ : </w:t>
      </w:r>
      <w:r w:rsidRPr="00E567C1">
        <w:t xml:space="preserve">Fenêtre </w:t>
      </w:r>
      <w:r>
        <w:t>« Paramètres d’évaluation »</w:t>
      </w:r>
      <w:r w:rsidRPr="00E567C1">
        <w:t xml:space="preserve"> </w:t>
      </w:r>
      <w:r>
        <w:t xml:space="preserve">- onglet « Durée de vie </w:t>
      </w:r>
      <w:r w:rsidR="0078153A">
        <w:t xml:space="preserve">restante </w:t>
      </w:r>
      <w:r>
        <w:t>attendue »</w:t>
      </w:r>
    </w:p>
    <w:p w14:paraId="0C15DEB8" w14:textId="77777777" w:rsidR="00250057" w:rsidRDefault="00250057"/>
    <w:p w14:paraId="3E0DDD69" w14:textId="4FBC3241" w:rsidR="00250057" w:rsidRDefault="00250057">
      <w:r>
        <w:rPr>
          <w:noProof/>
          <w:snapToGrid/>
        </w:rPr>
        <w:drawing>
          <wp:inline distT="0" distB="0" distL="0" distR="0" wp14:anchorId="3AA73C17" wp14:editId="3CB91E30">
            <wp:extent cx="5760720" cy="2205355"/>
            <wp:effectExtent l="0" t="0" r="0" b="444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0CC9F" w14:textId="5E318032" w:rsidR="00A36EFE" w:rsidRDefault="00A36EFE" w:rsidP="00A36EFE">
      <w:r w:rsidRPr="00966235">
        <w:t>Nous constatons qu'un</w:t>
      </w:r>
      <w:r>
        <w:t>e</w:t>
      </w:r>
      <w:r w:rsidRPr="00966235">
        <w:t xml:space="preserve"> </w:t>
      </w:r>
      <w:r>
        <w:t>personne</w:t>
      </w:r>
      <w:r w:rsidRPr="00966235">
        <w:t xml:space="preserve"> de </w:t>
      </w:r>
      <w:r>
        <w:t>30 ans peut s'attendre à vivre 41</w:t>
      </w:r>
      <w:r w:rsidRPr="00966235">
        <w:t xml:space="preserve"> ans de plus à l'exposition actuelle à la pollution de l'air (</w:t>
      </w:r>
      <w:r>
        <w:t>16</w:t>
      </w:r>
      <w:r w:rsidRPr="00966235">
        <w:t>,</w:t>
      </w:r>
      <w:r>
        <w:t>43</w:t>
      </w:r>
      <w:r w:rsidRPr="00966235">
        <w:t xml:space="preserve"> μg/m</w:t>
      </w:r>
      <w:r w:rsidRPr="00966235">
        <w:rPr>
          <w:vertAlign w:val="superscript"/>
        </w:rPr>
        <w:t>3</w:t>
      </w:r>
      <w:r w:rsidRPr="00966235">
        <w:t>). Cependant, si le niveau d'exposition était réduit à des concentrations annuelles moyennes (valeur seuil) de 10 μg/m</w:t>
      </w:r>
      <w:r w:rsidRPr="00966235">
        <w:rPr>
          <w:vertAlign w:val="superscript"/>
        </w:rPr>
        <w:t>3</w:t>
      </w:r>
      <w:r w:rsidRPr="00966235">
        <w:t xml:space="preserve">, </w:t>
      </w:r>
      <w:r>
        <w:t>la personne</w:t>
      </w:r>
      <w:r w:rsidRPr="00966235">
        <w:t xml:space="preserve"> de </w:t>
      </w:r>
      <w:r>
        <w:t>30</w:t>
      </w:r>
      <w:r w:rsidRPr="00966235">
        <w:t xml:space="preserve"> ans gagne</w:t>
      </w:r>
      <w:r>
        <w:t>rai</w:t>
      </w:r>
      <w:r w:rsidRPr="00966235">
        <w:t xml:space="preserve"> 0,</w:t>
      </w:r>
      <w:r>
        <w:t>99</w:t>
      </w:r>
      <w:r w:rsidRPr="00966235">
        <w:t xml:space="preserve"> année</w:t>
      </w:r>
      <w:r>
        <w:t xml:space="preserve"> (Figure 13)</w:t>
      </w:r>
      <w:r w:rsidRPr="00966235">
        <w:t>.</w:t>
      </w:r>
      <w:bookmarkStart w:id="2" w:name="_GoBack"/>
      <w:bookmarkEnd w:id="2"/>
    </w:p>
    <w:sectPr w:rsidR="00A36EFE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B0683" w14:textId="77777777" w:rsidR="00015039" w:rsidRDefault="00015039" w:rsidP="00D67FBD">
      <w:r>
        <w:separator/>
      </w:r>
    </w:p>
  </w:endnote>
  <w:endnote w:type="continuationSeparator" w:id="0">
    <w:p w14:paraId="5A370ACD" w14:textId="77777777" w:rsidR="00015039" w:rsidRDefault="00015039" w:rsidP="00D6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128946"/>
      <w:docPartObj>
        <w:docPartGallery w:val="Page Numbers (Bottom of Page)"/>
        <w:docPartUnique/>
      </w:docPartObj>
    </w:sdtPr>
    <w:sdtContent>
      <w:p w14:paraId="49E7450A" w14:textId="2B62A26B" w:rsidR="00D67FBD" w:rsidRDefault="00D67FB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57F13C8D" w14:textId="77777777" w:rsidR="00D67FBD" w:rsidRDefault="00D67F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B2ED5" w14:textId="77777777" w:rsidR="00015039" w:rsidRDefault="00015039" w:rsidP="00D67FBD">
      <w:r>
        <w:separator/>
      </w:r>
    </w:p>
  </w:footnote>
  <w:footnote w:type="continuationSeparator" w:id="0">
    <w:p w14:paraId="3F990D6C" w14:textId="77777777" w:rsidR="00015039" w:rsidRDefault="00015039" w:rsidP="00D67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A788E"/>
    <w:multiLevelType w:val="hybridMultilevel"/>
    <w:tmpl w:val="E20A4102"/>
    <w:lvl w:ilvl="0" w:tplc="74B01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95BA3"/>
    <w:multiLevelType w:val="hybridMultilevel"/>
    <w:tmpl w:val="99A84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92D81"/>
    <w:multiLevelType w:val="hybridMultilevel"/>
    <w:tmpl w:val="B2FAC5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BA"/>
    <w:rsid w:val="00015039"/>
    <w:rsid w:val="001B23C7"/>
    <w:rsid w:val="00250057"/>
    <w:rsid w:val="00265A3D"/>
    <w:rsid w:val="00266711"/>
    <w:rsid w:val="002B3EB6"/>
    <w:rsid w:val="002C3687"/>
    <w:rsid w:val="002D2FBA"/>
    <w:rsid w:val="00301377"/>
    <w:rsid w:val="0036484F"/>
    <w:rsid w:val="00432350"/>
    <w:rsid w:val="0044749D"/>
    <w:rsid w:val="00492275"/>
    <w:rsid w:val="005D300A"/>
    <w:rsid w:val="0078153A"/>
    <w:rsid w:val="007B5742"/>
    <w:rsid w:val="007E1D69"/>
    <w:rsid w:val="00851541"/>
    <w:rsid w:val="009C286D"/>
    <w:rsid w:val="00A36EFE"/>
    <w:rsid w:val="00B579A8"/>
    <w:rsid w:val="00BF1249"/>
    <w:rsid w:val="00D60646"/>
    <w:rsid w:val="00D67FBD"/>
    <w:rsid w:val="00D93B7E"/>
    <w:rsid w:val="00F7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9532"/>
  <w15:chartTrackingRefBased/>
  <w15:docId w15:val="{B5A7C132-0922-4FA8-8E23-C9BEED3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courant"/>
    <w:qFormat/>
    <w:rsid w:val="002D2FBA"/>
    <w:pPr>
      <w:spacing w:after="0" w:line="240" w:lineRule="auto"/>
      <w:jc w:val="both"/>
    </w:pPr>
    <w:rPr>
      <w:rFonts w:ascii="Arial" w:eastAsia="Times New Roman" w:hAnsi="Arial" w:cs="Arial"/>
      <w:snapToGrid w:val="0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2D2F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2D2FBA"/>
    <w:pPr>
      <w:outlineLvl w:val="2"/>
    </w:pPr>
    <w:rPr>
      <w:snapToGrid/>
      <w:color w:val="004192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2D2FBA"/>
    <w:rPr>
      <w:rFonts w:ascii="Arial" w:eastAsia="Times New Roman" w:hAnsi="Arial" w:cs="Arial"/>
      <w:color w:val="004192"/>
      <w:sz w:val="26"/>
      <w:szCs w:val="26"/>
      <w:lang w:eastAsia="fr-FR"/>
    </w:rPr>
  </w:style>
  <w:style w:type="paragraph" w:customStyle="1" w:styleId="TitreTableauFigure">
    <w:name w:val="Titre_Tableau_Figure"/>
    <w:basedOn w:val="Normal"/>
    <w:link w:val="TitreTableauFigureCar"/>
    <w:qFormat/>
    <w:rsid w:val="002D2FBA"/>
    <w:pPr>
      <w:jc w:val="left"/>
    </w:pPr>
    <w:rPr>
      <w:b/>
      <w:noProof/>
      <w:snapToGrid/>
      <w:color w:val="004192"/>
      <w:szCs w:val="22"/>
    </w:rPr>
  </w:style>
  <w:style w:type="paragraph" w:customStyle="1" w:styleId="NumeroTableauFigure">
    <w:name w:val="Numero_Tableau_Figure"/>
    <w:basedOn w:val="Tableautitre"/>
    <w:link w:val="NumeroTableauFigureCar"/>
    <w:qFormat/>
    <w:rsid w:val="002D2FBA"/>
    <w:pPr>
      <w:spacing w:before="0" w:after="0"/>
    </w:pPr>
    <w:rPr>
      <w:b/>
    </w:rPr>
  </w:style>
  <w:style w:type="character" w:customStyle="1" w:styleId="TitreTableauFigureCar">
    <w:name w:val="Titre_Tableau_Figure Car"/>
    <w:basedOn w:val="Policepardfaut"/>
    <w:link w:val="TitreTableauFigure"/>
    <w:rsid w:val="002D2FBA"/>
    <w:rPr>
      <w:rFonts w:ascii="Arial" w:eastAsia="Times New Roman" w:hAnsi="Arial" w:cs="Arial"/>
      <w:b/>
      <w:noProof/>
      <w:color w:val="004192"/>
      <w:lang w:eastAsia="fr-FR"/>
    </w:rPr>
  </w:style>
  <w:style w:type="paragraph" w:customStyle="1" w:styleId="Tableautitre">
    <w:name w:val="Tableau titre"/>
    <w:basedOn w:val="Normal"/>
    <w:link w:val="TableautitreCar"/>
    <w:rsid w:val="002D2FBA"/>
    <w:pPr>
      <w:spacing w:before="120" w:after="120"/>
    </w:pPr>
    <w:rPr>
      <w:snapToGrid/>
      <w:szCs w:val="22"/>
    </w:rPr>
  </w:style>
  <w:style w:type="character" w:customStyle="1" w:styleId="TableautitreCar">
    <w:name w:val="Tableau titre Car"/>
    <w:link w:val="Tableautitre"/>
    <w:rsid w:val="002D2FBA"/>
    <w:rPr>
      <w:rFonts w:ascii="Arial" w:eastAsia="Times New Roman" w:hAnsi="Arial" w:cs="Arial"/>
      <w:lang w:eastAsia="fr-FR"/>
    </w:rPr>
  </w:style>
  <w:style w:type="character" w:customStyle="1" w:styleId="NumeroTableauFigureCar">
    <w:name w:val="Numero_Tableau_Figure Car"/>
    <w:basedOn w:val="TableautitreCar"/>
    <w:link w:val="NumeroTableauFigure"/>
    <w:rsid w:val="002D2FBA"/>
    <w:rPr>
      <w:rFonts w:ascii="Arial" w:eastAsia="Times New Roman" w:hAnsi="Arial" w:cs="Arial"/>
      <w:b/>
      <w:lang w:eastAsia="fr-FR"/>
    </w:rPr>
  </w:style>
  <w:style w:type="paragraph" w:styleId="Paragraphedeliste">
    <w:name w:val="List Paragraph"/>
    <w:basedOn w:val="Normal"/>
    <w:uiPriority w:val="34"/>
    <w:qFormat/>
    <w:rsid w:val="002D2FBA"/>
    <w:pPr>
      <w:ind w:left="720"/>
      <w:contextualSpacing/>
    </w:pPr>
  </w:style>
  <w:style w:type="paragraph" w:styleId="Lgende">
    <w:name w:val="caption"/>
    <w:basedOn w:val="Normal"/>
    <w:next w:val="Normal"/>
    <w:uiPriority w:val="35"/>
    <w:qFormat/>
    <w:rsid w:val="002D2FBA"/>
    <w:pPr>
      <w:spacing w:before="120" w:after="120"/>
    </w:pPr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rsid w:val="002D2FBA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79A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9A8"/>
    <w:rPr>
      <w:rFonts w:ascii="Segoe UI" w:eastAsia="Times New Roman" w:hAnsi="Segoe UI" w:cs="Segoe UI"/>
      <w:snapToGrid w:val="0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323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235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2350"/>
    <w:rPr>
      <w:rFonts w:ascii="Arial" w:eastAsia="Times New Roman" w:hAnsi="Arial" w:cs="Arial"/>
      <w:snapToGrid w:val="0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23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2350"/>
    <w:rPr>
      <w:rFonts w:ascii="Arial" w:eastAsia="Times New Roman" w:hAnsi="Arial" w:cs="Arial"/>
      <w:b/>
      <w:bCs/>
      <w:snapToGrid w:val="0"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D67F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7FBD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67F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7FBD"/>
    <w:rPr>
      <w:rFonts w:ascii="Arial" w:eastAsia="Times New Roman" w:hAnsi="Arial" w:cs="Arial"/>
      <w:snapToGrid w:val="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67F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7FBD"/>
    <w:rPr>
      <w:rFonts w:ascii="Arial" w:eastAsia="Times New Roman" w:hAnsi="Arial" w:cs="Arial"/>
      <w:snapToGrid w:val="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5CC7A-F9BD-4E8A-9A09-EE0054D1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921</Words>
  <Characters>5069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Agence Nationale de santé Publique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Corso</dc:creator>
  <cp:keywords/>
  <dc:description/>
  <cp:lastModifiedBy>Magali Corso</cp:lastModifiedBy>
  <cp:revision>2</cp:revision>
  <dcterms:created xsi:type="dcterms:W3CDTF">2019-11-05T14:54:00Z</dcterms:created>
  <dcterms:modified xsi:type="dcterms:W3CDTF">2019-11-05T14:54:00Z</dcterms:modified>
</cp:coreProperties>
</file>